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384BA" w14:textId="77777777" w:rsidR="00C4460F" w:rsidRDefault="00C4460F">
      <w:pPr>
        <w:tabs>
          <w:tab w:val="right" w:pos="720"/>
        </w:tabs>
        <w:spacing w:line="276" w:lineRule="auto"/>
        <w:jc w:val="center"/>
        <w:rPr>
          <w:rFonts w:ascii="Arial" w:eastAsia="Arial" w:hAnsi="Arial" w:cs="Arial"/>
          <w:sz w:val="98"/>
          <w:szCs w:val="98"/>
        </w:rPr>
      </w:pPr>
    </w:p>
    <w:p w14:paraId="59379C8D" w14:textId="77777777" w:rsidR="00C4460F" w:rsidRDefault="00000000">
      <w:pPr>
        <w:tabs>
          <w:tab w:val="right" w:pos="720"/>
        </w:tabs>
        <w:spacing w:line="276" w:lineRule="auto"/>
        <w:jc w:val="center"/>
        <w:rPr>
          <w:rFonts w:ascii="Arial" w:eastAsia="Arial" w:hAnsi="Arial" w:cs="Arial"/>
          <w:sz w:val="98"/>
          <w:szCs w:val="98"/>
        </w:rPr>
        <w:sectPr w:rsidR="00C4460F">
          <w:footerReference w:type="even" r:id="rId8"/>
          <w:footerReference w:type="default" r:id="rId9"/>
          <w:headerReference w:type="first" r:id="rId10"/>
          <w:footerReference w:type="first" r:id="rId11"/>
          <w:pgSz w:w="12240" w:h="15840"/>
          <w:pgMar w:top="1000" w:right="960" w:bottom="280" w:left="960" w:header="720" w:footer="720" w:gutter="0"/>
          <w:pgNumType w:start="0"/>
          <w:cols w:space="720"/>
          <w:titlePg/>
        </w:sectPr>
      </w:pPr>
      <w:r>
        <w:rPr>
          <w:noProof/>
        </w:rPr>
        <mc:AlternateContent>
          <mc:Choice Requires="wps">
            <w:drawing>
              <wp:anchor distT="0" distB="0" distL="114300" distR="114300" simplePos="0" relativeHeight="251658240" behindDoc="0" locked="0" layoutInCell="1" hidden="0" allowOverlap="1" wp14:anchorId="43426133" wp14:editId="0E072EFB">
                <wp:simplePos x="0" y="0"/>
                <wp:positionH relativeFrom="column">
                  <wp:posOffset>-558800</wp:posOffset>
                </wp:positionH>
                <wp:positionV relativeFrom="paragraph">
                  <wp:posOffset>815340</wp:posOffset>
                </wp:positionV>
                <wp:extent cx="7658100" cy="4073525"/>
                <wp:effectExtent l="0" t="0" r="0" b="0"/>
                <wp:wrapNone/>
                <wp:docPr id="1868791187" name="Rectangle 1868791187"/>
                <wp:cNvGraphicFramePr/>
                <a:graphic xmlns:a="http://schemas.openxmlformats.org/drawingml/2006/main">
                  <a:graphicData uri="http://schemas.microsoft.com/office/word/2010/wordprocessingShape">
                    <wps:wsp>
                      <wps:cNvSpPr/>
                      <wps:spPr>
                        <a:xfrm>
                          <a:off x="0" y="0"/>
                          <a:ext cx="7658100" cy="4073525"/>
                        </a:xfrm>
                        <a:prstGeom prst="rect">
                          <a:avLst/>
                        </a:prstGeom>
                        <a:noFill/>
                        <a:ln>
                          <a:noFill/>
                        </a:ln>
                      </wps:spPr>
                      <wps:txbx>
                        <w:txbxContent>
                          <w:p w14:paraId="782FB5AE" w14:textId="77777777" w:rsidR="00C4460F" w:rsidRDefault="00000000" w:rsidP="00B25A85">
                            <w:pPr>
                              <w:jc w:val="center"/>
                              <w:textDirection w:val="btLr"/>
                            </w:pPr>
                            <w:r>
                              <w:rPr>
                                <w:rFonts w:ascii="Cutive" w:eastAsia="Cutive" w:hAnsi="Cutive" w:cs="Cutive"/>
                                <w:color w:val="000000"/>
                                <w:sz w:val="56"/>
                              </w:rPr>
                              <w:t>The University of California, Santa Barbara</w:t>
                            </w:r>
                          </w:p>
                          <w:p w14:paraId="5959C50D" w14:textId="77777777" w:rsidR="00C4460F" w:rsidRDefault="00000000" w:rsidP="00B25A85">
                            <w:pPr>
                              <w:jc w:val="center"/>
                              <w:textDirection w:val="btLr"/>
                            </w:pPr>
                            <w:r>
                              <w:rPr>
                                <w:rFonts w:ascii="Cutive" w:eastAsia="Cutive" w:hAnsi="Cutive" w:cs="Cutive"/>
                                <w:color w:val="000000"/>
                                <w:sz w:val="56"/>
                              </w:rPr>
                              <w:t>Department of Film and Media Studies</w:t>
                            </w:r>
                          </w:p>
                          <w:p w14:paraId="63E972B1" w14:textId="77777777" w:rsidR="00C4460F" w:rsidRDefault="00000000" w:rsidP="00B25A85">
                            <w:pPr>
                              <w:jc w:val="center"/>
                              <w:textDirection w:val="btLr"/>
                            </w:pPr>
                            <w:r>
                              <w:rPr>
                                <w:rFonts w:ascii="Cutive" w:eastAsia="Cutive" w:hAnsi="Cutive" w:cs="Cutive"/>
                                <w:color w:val="000000"/>
                                <w:sz w:val="56"/>
                              </w:rPr>
                              <w:t>Graduate Student Handbook</w:t>
                            </w:r>
                          </w:p>
                          <w:p w14:paraId="0DE1CA85" w14:textId="15A7416D" w:rsidR="00C4460F" w:rsidRDefault="00000000" w:rsidP="00B25A85">
                            <w:pPr>
                              <w:jc w:val="center"/>
                              <w:textDirection w:val="btLr"/>
                            </w:pPr>
                            <w:r>
                              <w:rPr>
                                <w:rFonts w:ascii="Cutive" w:eastAsia="Cutive" w:hAnsi="Cutive" w:cs="Cutive"/>
                                <w:color w:val="000000"/>
                                <w:sz w:val="56"/>
                              </w:rPr>
                              <w:t>2025-2026</w:t>
                            </w:r>
                          </w:p>
                          <w:p w14:paraId="2A22F81B" w14:textId="77777777" w:rsidR="00C4460F" w:rsidRDefault="00C4460F">
                            <w:pPr>
                              <w:jc w:val="center"/>
                              <w:textDirection w:val="btLr"/>
                            </w:pPr>
                          </w:p>
                          <w:p w14:paraId="1A94E898" w14:textId="77777777" w:rsidR="00C4460F" w:rsidRDefault="00C4460F">
                            <w:pPr>
                              <w:jc w:val="center"/>
                              <w:textDirection w:val="btLr"/>
                            </w:pPr>
                          </w:p>
                          <w:p w14:paraId="5DABDF51" w14:textId="77777777" w:rsidR="00C4460F" w:rsidRDefault="00C4460F">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426133" id="Rectangle 1868791187" o:spid="_x0000_s1026" style="position:absolute;left:0;text-align:left;margin-left:-44pt;margin-top:64.2pt;width:603pt;height:3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" filled="f" stroked="f">
                <v:textbox inset="2.53958mm,1.2694mm,2.53958mm,1.2694mm">
                  <w:txbxContent>
                    <w:p w14:paraId="782FB5AE" w14:textId="77777777" w:rsidR="00C4460F" w:rsidRDefault="00000000" w:rsidP="00B25A85">
                      <w:pPr>
                        <w:jc w:val="center"/>
                        <w:textDirection w:val="btLr"/>
                      </w:pPr>
                      <w:r>
                        <w:rPr>
                          <w:rFonts w:ascii="Cutive" w:eastAsia="Cutive" w:hAnsi="Cutive" w:cs="Cutive"/>
                          <w:color w:val="000000"/>
                          <w:sz w:val="56"/>
                        </w:rPr>
                        <w:t>The University of California, Santa Barbara</w:t>
                      </w:r>
                    </w:p>
                    <w:p w14:paraId="5959C50D" w14:textId="77777777" w:rsidR="00C4460F" w:rsidRDefault="00000000" w:rsidP="00B25A85">
                      <w:pPr>
                        <w:jc w:val="center"/>
                        <w:textDirection w:val="btLr"/>
                      </w:pPr>
                      <w:r>
                        <w:rPr>
                          <w:rFonts w:ascii="Cutive" w:eastAsia="Cutive" w:hAnsi="Cutive" w:cs="Cutive"/>
                          <w:color w:val="000000"/>
                          <w:sz w:val="56"/>
                        </w:rPr>
                        <w:t>Department of Film and Media Studies</w:t>
                      </w:r>
                    </w:p>
                    <w:p w14:paraId="63E972B1" w14:textId="77777777" w:rsidR="00C4460F" w:rsidRDefault="00000000" w:rsidP="00B25A85">
                      <w:pPr>
                        <w:jc w:val="center"/>
                        <w:textDirection w:val="btLr"/>
                      </w:pPr>
                      <w:r>
                        <w:rPr>
                          <w:rFonts w:ascii="Cutive" w:eastAsia="Cutive" w:hAnsi="Cutive" w:cs="Cutive"/>
                          <w:color w:val="000000"/>
                          <w:sz w:val="56"/>
                        </w:rPr>
                        <w:t>Graduate Student Handbook</w:t>
                      </w:r>
                    </w:p>
                    <w:p w14:paraId="0DE1CA85" w14:textId="15A7416D" w:rsidR="00C4460F" w:rsidRDefault="00000000" w:rsidP="00B25A85">
                      <w:pPr>
                        <w:jc w:val="center"/>
                        <w:textDirection w:val="btLr"/>
                      </w:pPr>
                      <w:r>
                        <w:rPr>
                          <w:rFonts w:ascii="Cutive" w:eastAsia="Cutive" w:hAnsi="Cutive" w:cs="Cutive"/>
                          <w:color w:val="000000"/>
                          <w:sz w:val="56"/>
                        </w:rPr>
                        <w:t>2025-2026</w:t>
                      </w:r>
                    </w:p>
                    <w:p w14:paraId="2A22F81B" w14:textId="77777777" w:rsidR="00C4460F" w:rsidRDefault="00C4460F">
                      <w:pPr>
                        <w:jc w:val="center"/>
                        <w:textDirection w:val="btLr"/>
                      </w:pPr>
                    </w:p>
                    <w:p w14:paraId="1A94E898" w14:textId="77777777" w:rsidR="00C4460F" w:rsidRDefault="00C4460F">
                      <w:pPr>
                        <w:jc w:val="center"/>
                        <w:textDirection w:val="btLr"/>
                      </w:pPr>
                    </w:p>
                    <w:p w14:paraId="5DABDF51" w14:textId="77777777" w:rsidR="00C4460F" w:rsidRDefault="00C4460F">
                      <w:pPr>
                        <w:jc w:val="center"/>
                        <w:textDirection w:val="btLr"/>
                      </w:pPr>
                    </w:p>
                  </w:txbxContent>
                </v:textbox>
              </v:rect>
            </w:pict>
          </mc:Fallback>
        </mc:AlternateContent>
      </w:r>
    </w:p>
    <w:p w14:paraId="457DA3EA" w14:textId="77777777" w:rsidR="00C4460F" w:rsidRDefault="00000000">
      <w:pPr>
        <w:keepNext/>
        <w:keepLines/>
        <w:pBdr>
          <w:top w:val="nil"/>
          <w:left w:val="nil"/>
          <w:bottom w:val="nil"/>
          <w:right w:val="nil"/>
          <w:between w:val="nil"/>
        </w:pBdr>
        <w:spacing w:before="240" w:line="276" w:lineRule="auto"/>
        <w:rPr>
          <w:rFonts w:ascii="Arial" w:eastAsia="Arial" w:hAnsi="Arial" w:cs="Arial"/>
          <w:color w:val="6AA84F"/>
          <w:sz w:val="20"/>
          <w:szCs w:val="20"/>
        </w:rPr>
      </w:pPr>
      <w:r>
        <w:rPr>
          <w:rFonts w:ascii="Arial" w:eastAsia="Arial" w:hAnsi="Arial" w:cs="Arial"/>
          <w:color w:val="000000"/>
          <w:sz w:val="32"/>
          <w:szCs w:val="32"/>
        </w:rPr>
        <w:lastRenderedPageBreak/>
        <w:t xml:space="preserve">Contents </w:t>
      </w:r>
    </w:p>
    <w:p w14:paraId="000627EC" w14:textId="77777777" w:rsidR="00C4460F" w:rsidRDefault="00C4460F">
      <w:pPr>
        <w:spacing w:line="276" w:lineRule="auto"/>
        <w:rPr>
          <w:rFonts w:ascii="Arial" w:eastAsia="Arial" w:hAnsi="Arial" w:cs="Arial"/>
        </w:rPr>
      </w:pPr>
    </w:p>
    <w:sdt>
      <w:sdtPr>
        <w:id w:val="-705681114"/>
        <w:docPartObj>
          <w:docPartGallery w:val="Table of Contents"/>
          <w:docPartUnique/>
        </w:docPartObj>
      </w:sdtPr>
      <w:sdtContent>
        <w:p w14:paraId="07362908"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r>
            <w:fldChar w:fldCharType="begin"/>
          </w:r>
          <w:r>
            <w:instrText xml:space="preserve"> TOC \h \u \z \t "Heading 1,1,Heading 2,2,Heading 3,3,"</w:instrText>
          </w:r>
          <w:r>
            <w:fldChar w:fldCharType="separate"/>
          </w:r>
          <w:hyperlink w:anchor="_heading=h.wi4iu3d2olo0">
            <w:r>
              <w:rPr>
                <w:rFonts w:ascii="Arial" w:eastAsia="Arial" w:hAnsi="Arial" w:cs="Arial"/>
                <w:color w:val="000000"/>
              </w:rPr>
              <w:t>INTRODUCTION</w:t>
            </w:r>
            <w:r>
              <w:rPr>
                <w:rFonts w:ascii="Arial" w:eastAsia="Arial" w:hAnsi="Arial" w:cs="Arial"/>
                <w:color w:val="000000"/>
              </w:rPr>
              <w:tab/>
            </w:r>
          </w:hyperlink>
          <w:r>
            <w:rPr>
              <w:rFonts w:ascii="Arial" w:eastAsia="Arial" w:hAnsi="Arial" w:cs="Arial"/>
            </w:rPr>
            <w:t>1</w:t>
          </w:r>
        </w:p>
        <w:p w14:paraId="43D0D666" w14:textId="77777777" w:rsidR="00C4460F" w:rsidRDefault="00C4460F">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p>
        <w:p w14:paraId="3DBDDAEB"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4i6otw3r4l1z">
            <w:r>
              <w:rPr>
                <w:rFonts w:ascii="Arial" w:eastAsia="Arial" w:hAnsi="Arial" w:cs="Arial"/>
                <w:color w:val="000000"/>
              </w:rPr>
              <w:t>THE UCSB FILM AND MEDIA STUDIES PROGRAM OVERVIEW</w:t>
            </w:r>
            <w:r>
              <w:rPr>
                <w:rFonts w:ascii="Arial" w:eastAsia="Arial" w:hAnsi="Arial" w:cs="Arial"/>
                <w:color w:val="000000"/>
              </w:rPr>
              <w:tab/>
            </w:r>
          </w:hyperlink>
          <w:r>
            <w:rPr>
              <w:rFonts w:ascii="Arial" w:eastAsia="Arial" w:hAnsi="Arial" w:cs="Arial"/>
            </w:rPr>
            <w:t>1</w:t>
          </w:r>
        </w:p>
        <w:p w14:paraId="37844529" w14:textId="77777777" w:rsidR="00C4460F" w:rsidRDefault="00C4460F">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p>
        <w:p w14:paraId="685DFCED"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m7w613uh4k7h">
            <w:r>
              <w:rPr>
                <w:rFonts w:ascii="Arial" w:eastAsia="Arial" w:hAnsi="Arial" w:cs="Arial"/>
                <w:color w:val="000000"/>
              </w:rPr>
              <w:t>AREAS OF EMPHASIS</w:t>
            </w:r>
            <w:r>
              <w:rPr>
                <w:rFonts w:ascii="Arial" w:eastAsia="Arial" w:hAnsi="Arial" w:cs="Arial"/>
                <w:color w:val="000000"/>
              </w:rPr>
              <w:tab/>
            </w:r>
          </w:hyperlink>
          <w:r>
            <w:rPr>
              <w:rFonts w:ascii="Arial" w:eastAsia="Arial" w:hAnsi="Arial" w:cs="Arial"/>
            </w:rPr>
            <w:t>1</w:t>
          </w:r>
        </w:p>
        <w:p w14:paraId="78BCF16D" w14:textId="77777777" w:rsidR="00C4460F" w:rsidRDefault="00C4460F">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p>
        <w:p w14:paraId="0386E0EE"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wppxuevxfwfl">
            <w:r>
              <w:rPr>
                <w:rFonts w:ascii="Arial" w:eastAsia="Arial" w:hAnsi="Arial" w:cs="Arial"/>
                <w:color w:val="000000"/>
              </w:rPr>
              <w:t>THE FACULTY</w:t>
            </w:r>
            <w:r>
              <w:rPr>
                <w:rFonts w:ascii="Arial" w:eastAsia="Arial" w:hAnsi="Arial" w:cs="Arial"/>
                <w:color w:val="000000"/>
              </w:rPr>
              <w:tab/>
            </w:r>
          </w:hyperlink>
          <w:r>
            <w:rPr>
              <w:rFonts w:ascii="Arial" w:eastAsia="Arial" w:hAnsi="Arial" w:cs="Arial"/>
            </w:rPr>
            <w:t>1</w:t>
          </w:r>
        </w:p>
        <w:p w14:paraId="686FC760" w14:textId="77777777" w:rsidR="00C4460F"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hyperlink w:anchor="_heading=h.p85todn011we">
            <w:r>
              <w:rPr>
                <w:rFonts w:ascii="Arial" w:eastAsia="Arial" w:hAnsi="Arial" w:cs="Arial"/>
                <w:color w:val="000000"/>
              </w:rPr>
              <w:t>DIRECTOR OF GRADUATE STUDIES (DGS)</w:t>
            </w:r>
            <w:r>
              <w:rPr>
                <w:rFonts w:ascii="Arial" w:eastAsia="Arial" w:hAnsi="Arial" w:cs="Arial"/>
                <w:color w:val="000000"/>
              </w:rPr>
              <w:tab/>
            </w:r>
          </w:hyperlink>
          <w:r>
            <w:rPr>
              <w:rFonts w:ascii="Arial" w:eastAsia="Arial" w:hAnsi="Arial" w:cs="Arial"/>
            </w:rPr>
            <w:t>2</w:t>
          </w:r>
        </w:p>
        <w:p w14:paraId="2340A191" w14:textId="77777777" w:rsidR="00C4460F"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hyperlink w:anchor="_heading=h.3nx44ivz7i0j">
            <w:r>
              <w:rPr>
                <w:rFonts w:ascii="Arial" w:eastAsia="Arial" w:hAnsi="Arial" w:cs="Arial"/>
                <w:color w:val="000000"/>
              </w:rPr>
              <w:t>THE GRADUATE PROGRAM ADVISOR (GPA)</w:t>
            </w:r>
            <w:r>
              <w:rPr>
                <w:rFonts w:ascii="Arial" w:eastAsia="Arial" w:hAnsi="Arial" w:cs="Arial"/>
                <w:color w:val="000000"/>
              </w:rPr>
              <w:tab/>
            </w:r>
          </w:hyperlink>
          <w:r>
            <w:rPr>
              <w:rFonts w:ascii="Arial" w:eastAsia="Arial" w:hAnsi="Arial" w:cs="Arial"/>
            </w:rPr>
            <w:t>3</w:t>
          </w:r>
        </w:p>
        <w:p w14:paraId="0182FC8A" w14:textId="77777777" w:rsidR="00C4460F"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hyperlink w:anchor="_heading=h.gfgtdmh024">
            <w:r>
              <w:rPr>
                <w:rFonts w:ascii="Arial" w:eastAsia="Arial" w:hAnsi="Arial" w:cs="Arial"/>
                <w:color w:val="000000"/>
              </w:rPr>
              <w:t>THE FACULTY MENTOR</w:t>
            </w:r>
            <w:r>
              <w:rPr>
                <w:rFonts w:ascii="Arial" w:eastAsia="Arial" w:hAnsi="Arial" w:cs="Arial"/>
                <w:color w:val="000000"/>
              </w:rPr>
              <w:tab/>
            </w:r>
          </w:hyperlink>
          <w:r>
            <w:rPr>
              <w:rFonts w:ascii="Arial" w:eastAsia="Arial" w:hAnsi="Arial" w:cs="Arial"/>
            </w:rPr>
            <w:t>3</w:t>
          </w:r>
        </w:p>
        <w:p w14:paraId="191EEAD7" w14:textId="77777777" w:rsidR="00C4460F"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hyperlink w:anchor="_heading=h.qpwlp7tp9jwq">
            <w:r>
              <w:rPr>
                <w:rFonts w:ascii="Arial" w:eastAsia="Arial" w:hAnsi="Arial" w:cs="Arial"/>
                <w:color w:val="000000"/>
              </w:rPr>
              <w:t>THE DEPARTMENTAL GRADUATE COMMITTEE</w:t>
            </w:r>
            <w:r>
              <w:rPr>
                <w:rFonts w:ascii="Arial" w:eastAsia="Arial" w:hAnsi="Arial" w:cs="Arial"/>
                <w:color w:val="000000"/>
              </w:rPr>
              <w:tab/>
            </w:r>
          </w:hyperlink>
          <w:r>
            <w:rPr>
              <w:rFonts w:ascii="Arial" w:eastAsia="Arial" w:hAnsi="Arial" w:cs="Arial"/>
            </w:rPr>
            <w:t>3</w:t>
          </w:r>
        </w:p>
        <w:p w14:paraId="5223F021" w14:textId="77777777" w:rsidR="00C4460F"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r>
            <w:rPr>
              <w:rFonts w:ascii="Arial" w:eastAsia="Arial" w:hAnsi="Arial" w:cs="Arial"/>
              <w:color w:val="000000"/>
            </w:rPr>
            <w:t>REGISTRATION</w:t>
          </w:r>
          <w:r>
            <w:rPr>
              <w:rFonts w:ascii="Arial" w:eastAsia="Arial" w:hAnsi="Arial" w:cs="Arial"/>
              <w:color w:val="000000"/>
            </w:rPr>
            <w:tab/>
          </w:r>
          <w:r>
            <w:rPr>
              <w:rFonts w:ascii="Arial" w:eastAsia="Arial" w:hAnsi="Arial" w:cs="Arial"/>
            </w:rPr>
            <w:t>3</w:t>
          </w:r>
        </w:p>
        <w:p w14:paraId="47C005E8"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qf5901q8sl0t">
            <w:r>
              <w:rPr>
                <w:rFonts w:ascii="Arial" w:eastAsia="Arial" w:hAnsi="Arial" w:cs="Arial"/>
                <w:color w:val="000000"/>
              </w:rPr>
              <w:t>Full-Time Enrollment:</w:t>
            </w:r>
            <w:r>
              <w:rPr>
                <w:rFonts w:ascii="Arial" w:eastAsia="Arial" w:hAnsi="Arial" w:cs="Arial"/>
                <w:color w:val="000000"/>
              </w:rPr>
              <w:tab/>
            </w:r>
          </w:hyperlink>
          <w:r>
            <w:rPr>
              <w:rFonts w:ascii="Arial" w:eastAsia="Arial" w:hAnsi="Arial" w:cs="Arial"/>
            </w:rPr>
            <w:t>4</w:t>
          </w:r>
        </w:p>
        <w:p w14:paraId="2CAF6455"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fk8h0c49qc97">
            <w:r>
              <w:rPr>
                <w:rFonts w:ascii="Arial" w:eastAsia="Arial" w:hAnsi="Arial" w:cs="Arial"/>
                <w:color w:val="000000"/>
              </w:rPr>
              <w:t>Grades/Incompletes:</w:t>
            </w:r>
            <w:r>
              <w:rPr>
                <w:rFonts w:ascii="Arial" w:eastAsia="Arial" w:hAnsi="Arial" w:cs="Arial"/>
                <w:color w:val="000000"/>
              </w:rPr>
              <w:tab/>
            </w:r>
          </w:hyperlink>
          <w:r>
            <w:rPr>
              <w:rFonts w:ascii="Arial" w:eastAsia="Arial" w:hAnsi="Arial" w:cs="Arial"/>
            </w:rPr>
            <w:t>4</w:t>
          </w:r>
        </w:p>
        <w:p w14:paraId="5FA8DC8E"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xdu8alchpxo">
            <w:r>
              <w:rPr>
                <w:rFonts w:ascii="Arial" w:eastAsia="Arial" w:hAnsi="Arial" w:cs="Arial"/>
                <w:color w:val="000000"/>
              </w:rPr>
              <w:t>Grading Policy:</w:t>
            </w:r>
            <w:r>
              <w:rPr>
                <w:rFonts w:ascii="Arial" w:eastAsia="Arial" w:hAnsi="Arial" w:cs="Arial"/>
                <w:color w:val="000000"/>
              </w:rPr>
              <w:tab/>
            </w:r>
          </w:hyperlink>
          <w:r>
            <w:rPr>
              <w:rFonts w:ascii="Arial" w:eastAsia="Arial" w:hAnsi="Arial" w:cs="Arial"/>
            </w:rPr>
            <w:t>4</w:t>
          </w:r>
        </w:p>
        <w:p w14:paraId="6C221EF5"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yphhwdovweq9">
            <w:r>
              <w:rPr>
                <w:rFonts w:ascii="Arial" w:eastAsia="Arial" w:hAnsi="Arial" w:cs="Arial"/>
                <w:color w:val="000000"/>
              </w:rPr>
              <w:t>Standards of Scholarship:</w:t>
            </w:r>
            <w:r>
              <w:rPr>
                <w:rFonts w:ascii="Arial" w:eastAsia="Arial" w:hAnsi="Arial" w:cs="Arial"/>
                <w:color w:val="000000"/>
              </w:rPr>
              <w:tab/>
            </w:r>
          </w:hyperlink>
          <w:r>
            <w:rPr>
              <w:rFonts w:ascii="Arial" w:eastAsia="Arial" w:hAnsi="Arial" w:cs="Arial"/>
            </w:rPr>
            <w:t>5</w:t>
          </w:r>
        </w:p>
        <w:p w14:paraId="740A8201"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gepdi9i52o8y">
            <w:r>
              <w:rPr>
                <w:rFonts w:ascii="Arial" w:eastAsia="Arial" w:hAnsi="Arial" w:cs="Arial"/>
                <w:color w:val="000000"/>
              </w:rPr>
              <w:t>Leaves of Absence:</w:t>
            </w:r>
            <w:r>
              <w:rPr>
                <w:rFonts w:ascii="Arial" w:eastAsia="Arial" w:hAnsi="Arial" w:cs="Arial"/>
                <w:color w:val="000000"/>
              </w:rPr>
              <w:tab/>
            </w:r>
          </w:hyperlink>
          <w:r>
            <w:rPr>
              <w:rFonts w:ascii="Arial" w:eastAsia="Arial" w:hAnsi="Arial" w:cs="Arial"/>
            </w:rPr>
            <w:t>5</w:t>
          </w:r>
        </w:p>
        <w:p w14:paraId="522A5ADF"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g52206486vjk">
            <w:r>
              <w:rPr>
                <w:rFonts w:ascii="Arial" w:eastAsia="Arial" w:hAnsi="Arial" w:cs="Arial"/>
                <w:color w:val="000000"/>
              </w:rPr>
              <w:t>In Absentia Registration:</w:t>
            </w:r>
            <w:r>
              <w:rPr>
                <w:rFonts w:ascii="Arial" w:eastAsia="Arial" w:hAnsi="Arial" w:cs="Arial"/>
                <w:color w:val="000000"/>
              </w:rPr>
              <w:tab/>
            </w:r>
          </w:hyperlink>
          <w:r>
            <w:rPr>
              <w:rFonts w:ascii="Arial" w:eastAsia="Arial" w:hAnsi="Arial" w:cs="Arial"/>
            </w:rPr>
            <w:t>6</w:t>
          </w:r>
        </w:p>
        <w:p w14:paraId="3DECF640"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cax6wvqyyjnl">
            <w:r>
              <w:rPr>
                <w:rFonts w:ascii="Arial" w:eastAsia="Arial" w:hAnsi="Arial" w:cs="Arial"/>
                <w:color w:val="000000"/>
              </w:rPr>
              <w:t>Degree Dates and Filing Deadlines:</w:t>
            </w:r>
            <w:r>
              <w:rPr>
                <w:rFonts w:ascii="Arial" w:eastAsia="Arial" w:hAnsi="Arial" w:cs="Arial"/>
                <w:color w:val="000000"/>
              </w:rPr>
              <w:tab/>
            </w:r>
          </w:hyperlink>
          <w:r>
            <w:rPr>
              <w:rFonts w:ascii="Arial" w:eastAsia="Arial" w:hAnsi="Arial" w:cs="Arial"/>
            </w:rPr>
            <w:t>6</w:t>
          </w:r>
        </w:p>
        <w:p w14:paraId="46AFDBE7"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x6jxjalu30eg">
            <w:r>
              <w:rPr>
                <w:rFonts w:ascii="Arial" w:eastAsia="Arial" w:hAnsi="Arial" w:cs="Arial"/>
                <w:color w:val="000000"/>
              </w:rPr>
              <w:t>Annual Review of Graduate Student Progress:</w:t>
            </w:r>
            <w:r>
              <w:rPr>
                <w:rFonts w:ascii="Arial" w:eastAsia="Arial" w:hAnsi="Arial" w:cs="Arial"/>
                <w:color w:val="000000"/>
              </w:rPr>
              <w:tab/>
            </w:r>
          </w:hyperlink>
          <w:r>
            <w:rPr>
              <w:rFonts w:ascii="Arial" w:eastAsia="Arial" w:hAnsi="Arial" w:cs="Arial"/>
            </w:rPr>
            <w:t>6</w:t>
          </w:r>
        </w:p>
        <w:p w14:paraId="639400E9"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ntiv8gtjze74">
            <w:r>
              <w:rPr>
                <w:rFonts w:ascii="Arial" w:eastAsia="Arial" w:hAnsi="Arial" w:cs="Arial"/>
                <w:color w:val="000000"/>
              </w:rPr>
              <w:t>Appeals Procedures for Graduate Student Disputes with Graduate Committees:</w:t>
            </w:r>
            <w:r>
              <w:rPr>
                <w:rFonts w:ascii="Arial" w:eastAsia="Arial" w:hAnsi="Arial" w:cs="Arial"/>
                <w:color w:val="000000"/>
              </w:rPr>
              <w:tab/>
            </w:r>
          </w:hyperlink>
          <w:r>
            <w:rPr>
              <w:rFonts w:ascii="Arial" w:eastAsia="Arial" w:hAnsi="Arial" w:cs="Arial"/>
            </w:rPr>
            <w:t>6</w:t>
          </w:r>
        </w:p>
        <w:p w14:paraId="3FF3DC3C" w14:textId="77777777" w:rsidR="00C4460F"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hyperlink w:anchor="_heading=h.o5noggh4dte">
            <w:r>
              <w:rPr>
                <w:rFonts w:ascii="Arial" w:eastAsia="Arial" w:hAnsi="Arial" w:cs="Arial"/>
                <w:color w:val="000000"/>
              </w:rPr>
              <w:t>OUR PROGRAM</w:t>
            </w:r>
            <w:r>
              <w:rPr>
                <w:rFonts w:ascii="Arial" w:eastAsia="Arial" w:hAnsi="Arial" w:cs="Arial"/>
                <w:color w:val="000000"/>
              </w:rPr>
              <w:tab/>
            </w:r>
          </w:hyperlink>
          <w:r>
            <w:rPr>
              <w:rFonts w:ascii="Arial" w:eastAsia="Arial" w:hAnsi="Arial" w:cs="Arial"/>
            </w:rPr>
            <w:t>7</w:t>
          </w:r>
        </w:p>
        <w:p w14:paraId="0954D1BA"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x04b2huwjt0t">
            <w:r>
              <w:rPr>
                <w:rFonts w:ascii="Arial" w:eastAsia="Arial" w:hAnsi="Arial" w:cs="Arial"/>
                <w:color w:val="000000"/>
              </w:rPr>
              <w:t>Undergraduate Preparation</w:t>
            </w:r>
            <w:r>
              <w:rPr>
                <w:rFonts w:ascii="Arial" w:eastAsia="Arial" w:hAnsi="Arial" w:cs="Arial"/>
                <w:color w:val="000000"/>
              </w:rPr>
              <w:tab/>
            </w:r>
          </w:hyperlink>
          <w:r>
            <w:rPr>
              <w:rFonts w:ascii="Arial" w:eastAsia="Arial" w:hAnsi="Arial" w:cs="Arial"/>
            </w:rPr>
            <w:t>7</w:t>
          </w:r>
        </w:p>
        <w:p w14:paraId="15FE7D94"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9zog1ft3x4j1">
            <w:r>
              <w:rPr>
                <w:rFonts w:ascii="Arial" w:eastAsia="Arial" w:hAnsi="Arial" w:cs="Arial"/>
                <w:color w:val="000000"/>
              </w:rPr>
              <w:t>Curriculum/Course Requirements</w:t>
            </w:r>
            <w:r>
              <w:rPr>
                <w:rFonts w:ascii="Arial" w:eastAsia="Arial" w:hAnsi="Arial" w:cs="Arial"/>
                <w:color w:val="000000"/>
              </w:rPr>
              <w:tab/>
            </w:r>
          </w:hyperlink>
          <w:r>
            <w:rPr>
              <w:rFonts w:ascii="Arial" w:eastAsia="Arial" w:hAnsi="Arial" w:cs="Arial"/>
            </w:rPr>
            <w:t>7</w:t>
          </w:r>
        </w:p>
        <w:p w14:paraId="5F24424C"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1cfo6x5wnd76">
            <w:r>
              <w:rPr>
                <w:rFonts w:ascii="Arial" w:eastAsia="Arial" w:hAnsi="Arial" w:cs="Arial"/>
                <w:color w:val="000000"/>
              </w:rPr>
              <w:t>Core Courses</w:t>
            </w:r>
            <w:r>
              <w:rPr>
                <w:rFonts w:ascii="Arial" w:eastAsia="Arial" w:hAnsi="Arial" w:cs="Arial"/>
                <w:color w:val="000000"/>
              </w:rPr>
              <w:tab/>
            </w:r>
          </w:hyperlink>
          <w:r>
            <w:rPr>
              <w:rFonts w:ascii="Arial" w:eastAsia="Arial" w:hAnsi="Arial" w:cs="Arial"/>
            </w:rPr>
            <w:t>7</w:t>
          </w:r>
        </w:p>
        <w:p w14:paraId="0D104BE8"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u64xlmsdrsrd">
            <w:r>
              <w:rPr>
                <w:rFonts w:ascii="Arial" w:eastAsia="Arial" w:hAnsi="Arial" w:cs="Arial"/>
                <w:color w:val="000000"/>
              </w:rPr>
              <w:t>Graduate Electives</w:t>
            </w:r>
            <w:r>
              <w:rPr>
                <w:rFonts w:ascii="Arial" w:eastAsia="Arial" w:hAnsi="Arial" w:cs="Arial"/>
                <w:color w:val="000000"/>
              </w:rPr>
              <w:tab/>
            </w:r>
          </w:hyperlink>
          <w:r>
            <w:rPr>
              <w:rFonts w:ascii="Arial" w:eastAsia="Arial" w:hAnsi="Arial" w:cs="Arial"/>
            </w:rPr>
            <w:t>7</w:t>
          </w:r>
        </w:p>
        <w:p w14:paraId="453CC525"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gqnmtalujcrn">
            <w:r>
              <w:rPr>
                <w:rFonts w:ascii="Arial" w:eastAsia="Arial" w:hAnsi="Arial" w:cs="Arial"/>
                <w:color w:val="000000"/>
              </w:rPr>
              <w:t>Policy on Independent Studies Courses</w:t>
            </w:r>
            <w:r>
              <w:rPr>
                <w:rFonts w:ascii="Arial" w:eastAsia="Arial" w:hAnsi="Arial" w:cs="Arial"/>
                <w:color w:val="000000"/>
              </w:rPr>
              <w:tab/>
            </w:r>
          </w:hyperlink>
          <w:r>
            <w:rPr>
              <w:rFonts w:ascii="Arial" w:eastAsia="Arial" w:hAnsi="Arial" w:cs="Arial"/>
            </w:rPr>
            <w:t>8</w:t>
          </w:r>
        </w:p>
        <w:p w14:paraId="4763E951" w14:textId="77777777" w:rsidR="00C4460F" w:rsidRDefault="00C4460F">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p>
        <w:p w14:paraId="5EFAB033"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gcsdnkp8y5ze">
            <w:r>
              <w:rPr>
                <w:rFonts w:ascii="Arial" w:eastAsia="Arial" w:hAnsi="Arial" w:cs="Arial"/>
                <w:color w:val="000000"/>
              </w:rPr>
              <w:t>MASTER OF ARTS (M.A.) IN FILM AND MEDIA STUDIES</w:t>
            </w:r>
            <w:r>
              <w:rPr>
                <w:rFonts w:ascii="Arial" w:eastAsia="Arial" w:hAnsi="Arial" w:cs="Arial"/>
                <w:color w:val="000000"/>
              </w:rPr>
              <w:tab/>
            </w:r>
          </w:hyperlink>
          <w:r>
            <w:rPr>
              <w:rFonts w:ascii="Arial" w:eastAsia="Arial" w:hAnsi="Arial" w:cs="Arial"/>
            </w:rPr>
            <w:t>8</w:t>
          </w:r>
        </w:p>
        <w:p w14:paraId="52468452"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zr45gie6y36">
            <w:r>
              <w:rPr>
                <w:rFonts w:ascii="Arial" w:eastAsia="Arial" w:hAnsi="Arial" w:cs="Arial"/>
                <w:color w:val="000000"/>
              </w:rPr>
              <w:t>Master’s Committee:</w:t>
            </w:r>
            <w:r>
              <w:rPr>
                <w:rFonts w:ascii="Arial" w:eastAsia="Arial" w:hAnsi="Arial" w:cs="Arial"/>
                <w:color w:val="000000"/>
              </w:rPr>
              <w:tab/>
            </w:r>
          </w:hyperlink>
          <w:r>
            <w:rPr>
              <w:rFonts w:ascii="Arial" w:eastAsia="Arial" w:hAnsi="Arial" w:cs="Arial"/>
            </w:rPr>
            <w:t>9</w:t>
          </w:r>
        </w:p>
        <w:p w14:paraId="764F17ED"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vcbuzlrhfp7s">
            <w:r>
              <w:rPr>
                <w:rFonts w:ascii="Arial" w:eastAsia="Arial" w:hAnsi="Arial" w:cs="Arial"/>
                <w:color w:val="000000"/>
              </w:rPr>
              <w:t>The Master’s Exam</w:t>
            </w:r>
            <w:r>
              <w:rPr>
                <w:rFonts w:ascii="Arial" w:eastAsia="Arial" w:hAnsi="Arial" w:cs="Arial"/>
                <w:color w:val="000000"/>
              </w:rPr>
              <w:tab/>
            </w:r>
          </w:hyperlink>
          <w:r>
            <w:rPr>
              <w:rFonts w:ascii="Arial" w:eastAsia="Arial" w:hAnsi="Arial" w:cs="Arial"/>
            </w:rPr>
            <w:t>9</w:t>
          </w:r>
        </w:p>
        <w:p w14:paraId="5355CCA4"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ei7lfagoiefn">
            <w:r>
              <w:rPr>
                <w:rFonts w:ascii="Arial" w:eastAsia="Arial" w:hAnsi="Arial" w:cs="Arial"/>
                <w:color w:val="000000"/>
              </w:rPr>
              <w:t>8th Quarter Justification/ Maximum and Nor</w:t>
            </w:r>
          </w:hyperlink>
          <w:hyperlink w:anchor="_heading=h.ei7lfagoiefn">
            <w:r>
              <w:rPr>
                <w:rFonts w:ascii="Arial" w:eastAsia="Arial" w:hAnsi="Arial" w:cs="Arial"/>
              </w:rPr>
              <w:t>mative Time to Degree</w:t>
            </w:r>
          </w:hyperlink>
          <w:hyperlink w:anchor="_heading=h.ei7lfagoiefn">
            <w:r>
              <w:rPr>
                <w:rFonts w:ascii="Arial" w:eastAsia="Arial" w:hAnsi="Arial" w:cs="Arial"/>
                <w:color w:val="000000"/>
              </w:rPr>
              <w:tab/>
            </w:r>
          </w:hyperlink>
          <w:r>
            <w:rPr>
              <w:rFonts w:ascii="Arial" w:eastAsia="Arial" w:hAnsi="Arial" w:cs="Arial"/>
            </w:rPr>
            <w:t>10</w:t>
          </w:r>
        </w:p>
        <w:p w14:paraId="1D989ED9"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lj7iparkjuml">
            <w:r>
              <w:rPr>
                <w:rFonts w:ascii="Arial" w:eastAsia="Arial" w:hAnsi="Arial" w:cs="Arial"/>
                <w:color w:val="000000"/>
              </w:rPr>
              <w:t>Financial Support as a Master’s Student and Standard of Scholarship</w:t>
            </w:r>
            <w:r>
              <w:rPr>
                <w:rFonts w:ascii="Arial" w:eastAsia="Arial" w:hAnsi="Arial" w:cs="Arial"/>
                <w:color w:val="000000"/>
              </w:rPr>
              <w:tab/>
            </w:r>
          </w:hyperlink>
          <w:r>
            <w:rPr>
              <w:rFonts w:ascii="Arial" w:eastAsia="Arial" w:hAnsi="Arial" w:cs="Arial"/>
            </w:rPr>
            <w:t>10</w:t>
          </w:r>
        </w:p>
        <w:p w14:paraId="0312BA8F"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f2rnfu34jl2v">
            <w:r>
              <w:rPr>
                <w:rFonts w:ascii="Arial" w:eastAsia="Arial" w:hAnsi="Arial" w:cs="Arial"/>
                <w:color w:val="000000"/>
              </w:rPr>
              <w:t>Residency Requirement for the Master’s Degree</w:t>
            </w:r>
            <w:r>
              <w:rPr>
                <w:rFonts w:ascii="Arial" w:eastAsia="Arial" w:hAnsi="Arial" w:cs="Arial"/>
                <w:color w:val="000000"/>
              </w:rPr>
              <w:tab/>
              <w:t>1</w:t>
            </w:r>
          </w:hyperlink>
          <w:r>
            <w:rPr>
              <w:rFonts w:ascii="Arial" w:eastAsia="Arial" w:hAnsi="Arial" w:cs="Arial"/>
            </w:rPr>
            <w:t>0</w:t>
          </w:r>
        </w:p>
        <w:p w14:paraId="008BBD9F"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y8x3alwm762o">
            <w:r>
              <w:rPr>
                <w:rFonts w:ascii="Arial" w:eastAsia="Arial" w:hAnsi="Arial" w:cs="Arial"/>
                <w:color w:val="000000"/>
              </w:rPr>
              <w:t>Master’s Degree—Forms and Bureaucratic Procedures</w:t>
            </w:r>
            <w:r>
              <w:rPr>
                <w:rFonts w:ascii="Arial" w:eastAsia="Arial" w:hAnsi="Arial" w:cs="Arial"/>
                <w:color w:val="000000"/>
              </w:rPr>
              <w:tab/>
              <w:t>11</w:t>
            </w:r>
          </w:hyperlink>
        </w:p>
        <w:p w14:paraId="0BF61CB0"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oawcbq4fegvd">
            <w:r>
              <w:rPr>
                <w:rFonts w:ascii="Arial" w:eastAsia="Arial" w:hAnsi="Arial" w:cs="Arial"/>
                <w:color w:val="000000"/>
              </w:rPr>
              <w:t>TRANSFER FROM M.A./CONTINUATION INTO THE PH.D. PROGRAM</w:t>
            </w:r>
            <w:r>
              <w:rPr>
                <w:rFonts w:ascii="Arial" w:eastAsia="Arial" w:hAnsi="Arial" w:cs="Arial"/>
                <w:color w:val="000000"/>
              </w:rPr>
              <w:tab/>
              <w:t>1</w:t>
            </w:r>
          </w:hyperlink>
          <w:r>
            <w:rPr>
              <w:rFonts w:ascii="Arial" w:eastAsia="Arial" w:hAnsi="Arial" w:cs="Arial"/>
            </w:rPr>
            <w:t>1</w:t>
          </w:r>
        </w:p>
        <w:p w14:paraId="7BB73E94" w14:textId="77777777" w:rsidR="00C4460F"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hyperlink w:anchor="_heading=h.bthe3iaemu">
            <w:r>
              <w:rPr>
                <w:rFonts w:ascii="Arial" w:eastAsia="Arial" w:hAnsi="Arial" w:cs="Arial"/>
                <w:color w:val="000000"/>
              </w:rPr>
              <w:t>DOCTOR OF PHILOSOPHY (PH.D.) IN FILM AND MEDIA STUDIES</w:t>
            </w:r>
            <w:r>
              <w:rPr>
                <w:rFonts w:ascii="Arial" w:eastAsia="Arial" w:hAnsi="Arial" w:cs="Arial"/>
                <w:color w:val="000000"/>
              </w:rPr>
              <w:tab/>
              <w:t>1</w:t>
            </w:r>
          </w:hyperlink>
          <w:r>
            <w:rPr>
              <w:rFonts w:ascii="Arial" w:eastAsia="Arial" w:hAnsi="Arial" w:cs="Arial"/>
            </w:rPr>
            <w:t>1</w:t>
          </w:r>
        </w:p>
        <w:p w14:paraId="3FE8BF1D"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dznrtr6urs3f">
            <w:r>
              <w:rPr>
                <w:rFonts w:ascii="Arial" w:eastAsia="Arial" w:hAnsi="Arial" w:cs="Arial"/>
                <w:color w:val="000000"/>
              </w:rPr>
              <w:t>Foreign Language Requirement</w:t>
            </w:r>
            <w:r>
              <w:rPr>
                <w:rFonts w:ascii="Arial" w:eastAsia="Arial" w:hAnsi="Arial" w:cs="Arial"/>
                <w:color w:val="000000"/>
              </w:rPr>
              <w:tab/>
              <w:t>12</w:t>
            </w:r>
          </w:hyperlink>
        </w:p>
        <w:p w14:paraId="5EF89778"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826i5uj23y19">
            <w:r>
              <w:rPr>
                <w:rFonts w:ascii="Arial" w:eastAsia="Arial" w:hAnsi="Arial" w:cs="Arial"/>
                <w:color w:val="000000"/>
              </w:rPr>
              <w:t>Residency Requirement for the Ph.D. Degree</w:t>
            </w:r>
            <w:r>
              <w:rPr>
                <w:rFonts w:ascii="Arial" w:eastAsia="Arial" w:hAnsi="Arial" w:cs="Arial"/>
                <w:color w:val="000000"/>
              </w:rPr>
              <w:tab/>
              <w:t>13</w:t>
            </w:r>
          </w:hyperlink>
        </w:p>
        <w:p w14:paraId="01D7D1EE"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tsey7579wduq">
            <w:r>
              <w:rPr>
                <w:rFonts w:ascii="Arial" w:eastAsia="Arial" w:hAnsi="Arial" w:cs="Arial"/>
                <w:color w:val="000000"/>
              </w:rPr>
              <w:t>Maximum Time/Normative Time for the Ph.D. Degree</w:t>
            </w:r>
            <w:r>
              <w:rPr>
                <w:rFonts w:ascii="Arial" w:eastAsia="Arial" w:hAnsi="Arial" w:cs="Arial"/>
                <w:color w:val="000000"/>
              </w:rPr>
              <w:tab/>
              <w:t>13</w:t>
            </w:r>
          </w:hyperlink>
        </w:p>
        <w:p w14:paraId="4F9D4A30"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af72zbjvhow4">
            <w:r>
              <w:rPr>
                <w:rFonts w:ascii="Arial" w:eastAsia="Arial" w:hAnsi="Arial" w:cs="Arial"/>
                <w:color w:val="000000"/>
              </w:rPr>
              <w:t>The Ph.D. Committee</w:t>
            </w:r>
            <w:r>
              <w:rPr>
                <w:rFonts w:ascii="Arial" w:eastAsia="Arial" w:hAnsi="Arial" w:cs="Arial"/>
                <w:color w:val="000000"/>
              </w:rPr>
              <w:tab/>
              <w:t>14</w:t>
            </w:r>
          </w:hyperlink>
        </w:p>
        <w:p w14:paraId="6033EC27"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haiel5sijmf6">
            <w:r>
              <w:rPr>
                <w:rFonts w:ascii="Arial" w:eastAsia="Arial" w:hAnsi="Arial" w:cs="Arial"/>
                <w:color w:val="000000"/>
              </w:rPr>
              <w:t>Requirements of the Ph.D. Program</w:t>
            </w:r>
            <w:r>
              <w:rPr>
                <w:rFonts w:ascii="Arial" w:eastAsia="Arial" w:hAnsi="Arial" w:cs="Arial"/>
                <w:color w:val="000000"/>
              </w:rPr>
              <w:tab/>
              <w:t>14</w:t>
            </w:r>
          </w:hyperlink>
        </w:p>
        <w:p w14:paraId="42F78768"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bk6vuaw1zp93">
            <w:r>
              <w:rPr>
                <w:rFonts w:ascii="Arial" w:eastAsia="Arial" w:hAnsi="Arial" w:cs="Arial"/>
                <w:color w:val="000000"/>
              </w:rPr>
              <w:t>Written Qualifying Examination</w:t>
            </w:r>
            <w:r>
              <w:rPr>
                <w:rFonts w:ascii="Arial" w:eastAsia="Arial" w:hAnsi="Arial" w:cs="Arial"/>
                <w:color w:val="000000"/>
              </w:rPr>
              <w:tab/>
              <w:t>14</w:t>
            </w:r>
          </w:hyperlink>
        </w:p>
        <w:p w14:paraId="2D12888F"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tenal8ziftyt">
            <w:r>
              <w:rPr>
                <w:rFonts w:ascii="Arial" w:eastAsia="Arial" w:hAnsi="Arial" w:cs="Arial"/>
                <w:color w:val="000000"/>
              </w:rPr>
              <w:t>Dissertation Prospectus</w:t>
            </w:r>
            <w:r>
              <w:rPr>
                <w:rFonts w:ascii="Arial" w:eastAsia="Arial" w:hAnsi="Arial" w:cs="Arial"/>
                <w:color w:val="000000"/>
              </w:rPr>
              <w:tab/>
              <w:t>15</w:t>
            </w:r>
          </w:hyperlink>
        </w:p>
        <w:p w14:paraId="3B0D9F61"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2jfy9qmgqi3b">
            <w:r>
              <w:rPr>
                <w:rFonts w:ascii="Arial" w:eastAsia="Arial" w:hAnsi="Arial" w:cs="Arial"/>
                <w:color w:val="000000"/>
              </w:rPr>
              <w:t>Oral Qualifying Examination</w:t>
            </w:r>
            <w:r>
              <w:rPr>
                <w:rFonts w:ascii="Arial" w:eastAsia="Arial" w:hAnsi="Arial" w:cs="Arial"/>
                <w:color w:val="000000"/>
              </w:rPr>
              <w:tab/>
              <w:t>15</w:t>
            </w:r>
          </w:hyperlink>
        </w:p>
        <w:p w14:paraId="14A82661"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tjp7uolfpdy">
            <w:r>
              <w:rPr>
                <w:rFonts w:ascii="Arial" w:eastAsia="Arial" w:hAnsi="Arial" w:cs="Arial"/>
                <w:color w:val="000000"/>
              </w:rPr>
              <w:t>Advancement to Candidacy</w:t>
            </w:r>
            <w:r>
              <w:rPr>
                <w:rFonts w:ascii="Arial" w:eastAsia="Arial" w:hAnsi="Arial" w:cs="Arial"/>
                <w:color w:val="000000"/>
              </w:rPr>
              <w:tab/>
              <w:t>15</w:t>
            </w:r>
          </w:hyperlink>
        </w:p>
        <w:p w14:paraId="11D51E6C"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8wpplu9qlyt5">
            <w:r>
              <w:rPr>
                <w:rFonts w:ascii="Arial" w:eastAsia="Arial" w:hAnsi="Arial" w:cs="Arial"/>
                <w:color w:val="000000"/>
              </w:rPr>
              <w:t>Dissertation Defense</w:t>
            </w:r>
            <w:r>
              <w:rPr>
                <w:rFonts w:ascii="Arial" w:eastAsia="Arial" w:hAnsi="Arial" w:cs="Arial"/>
                <w:color w:val="000000"/>
              </w:rPr>
              <w:tab/>
              <w:t>1</w:t>
            </w:r>
          </w:hyperlink>
          <w:r>
            <w:rPr>
              <w:rFonts w:ascii="Arial" w:eastAsia="Arial" w:hAnsi="Arial" w:cs="Arial"/>
            </w:rPr>
            <w:t>6</w:t>
          </w:r>
        </w:p>
        <w:p w14:paraId="37FCDE24"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vz0mkax1bdvc">
            <w:r>
              <w:rPr>
                <w:rFonts w:ascii="Arial" w:eastAsia="Arial" w:hAnsi="Arial" w:cs="Arial"/>
                <w:color w:val="000000"/>
              </w:rPr>
              <w:t>Interdisciplinary Ph.D. Program Emphases</w:t>
            </w:r>
            <w:r>
              <w:rPr>
                <w:rFonts w:ascii="Arial" w:eastAsia="Arial" w:hAnsi="Arial" w:cs="Arial"/>
                <w:color w:val="000000"/>
              </w:rPr>
              <w:tab/>
              <w:t>16</w:t>
            </w:r>
          </w:hyperlink>
        </w:p>
        <w:p w14:paraId="7AE2DACC" w14:textId="77777777" w:rsidR="00C4460F"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hyperlink w:anchor="_heading=h.nkj3wdrt2ywg">
            <w:r>
              <w:rPr>
                <w:rFonts w:ascii="Arial" w:eastAsia="Arial" w:hAnsi="Arial" w:cs="Arial"/>
                <w:color w:val="000000"/>
              </w:rPr>
              <w:t>Ph.D. DEGREE – FORMS, REQUIREMENTS, PROCEDURES</w:t>
            </w:r>
            <w:r>
              <w:rPr>
                <w:rFonts w:ascii="Arial" w:eastAsia="Arial" w:hAnsi="Arial" w:cs="Arial"/>
                <w:color w:val="000000"/>
              </w:rPr>
              <w:tab/>
              <w:t>1</w:t>
            </w:r>
          </w:hyperlink>
          <w:r>
            <w:rPr>
              <w:rFonts w:ascii="Arial" w:eastAsia="Arial" w:hAnsi="Arial" w:cs="Arial"/>
            </w:rPr>
            <w:t>8</w:t>
          </w:r>
        </w:p>
        <w:p w14:paraId="6BF0CE80" w14:textId="77777777" w:rsidR="00C4460F" w:rsidRDefault="00C4460F">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p>
        <w:p w14:paraId="102EF139"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nk3hxv256xr7">
            <w:r>
              <w:rPr>
                <w:rFonts w:ascii="Arial" w:eastAsia="Arial" w:hAnsi="Arial" w:cs="Arial"/>
                <w:color w:val="000000"/>
              </w:rPr>
              <w:t>PREPARATION FOR CAREERS IN TEACHING</w:t>
            </w:r>
            <w:r>
              <w:rPr>
                <w:rFonts w:ascii="Arial" w:eastAsia="Arial" w:hAnsi="Arial" w:cs="Arial"/>
                <w:color w:val="000000"/>
              </w:rPr>
              <w:tab/>
              <w:t>1</w:t>
            </w:r>
          </w:hyperlink>
          <w:r>
            <w:rPr>
              <w:rFonts w:ascii="Arial" w:eastAsia="Arial" w:hAnsi="Arial" w:cs="Arial"/>
            </w:rPr>
            <w:t>8</w:t>
          </w:r>
        </w:p>
        <w:p w14:paraId="73E8E0C2" w14:textId="77777777" w:rsidR="00C4460F" w:rsidRDefault="00C4460F">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p>
        <w:p w14:paraId="48037680"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okb5lxpcuqf7">
            <w:r>
              <w:rPr>
                <w:rFonts w:ascii="Arial" w:eastAsia="Arial" w:hAnsi="Arial" w:cs="Arial"/>
                <w:color w:val="000000"/>
              </w:rPr>
              <w:t>FEES/TUITION</w:t>
            </w:r>
            <w:r>
              <w:rPr>
                <w:rFonts w:ascii="Arial" w:eastAsia="Arial" w:hAnsi="Arial" w:cs="Arial"/>
                <w:color w:val="000000"/>
              </w:rPr>
              <w:tab/>
              <w:t>1</w:t>
            </w:r>
          </w:hyperlink>
          <w:r>
            <w:rPr>
              <w:rFonts w:ascii="Arial" w:eastAsia="Arial" w:hAnsi="Arial" w:cs="Arial"/>
            </w:rPr>
            <w:t>9</w:t>
          </w:r>
        </w:p>
        <w:p w14:paraId="47E5E849" w14:textId="77777777" w:rsidR="00C4460F" w:rsidRDefault="00C4460F">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p>
        <w:p w14:paraId="5A0D25EA"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buf9d04iucv9">
            <w:r>
              <w:rPr>
                <w:rFonts w:ascii="Arial" w:eastAsia="Arial" w:hAnsi="Arial" w:cs="Arial"/>
                <w:color w:val="000000"/>
              </w:rPr>
              <w:t>FINANCIAL SUPPORT</w:t>
            </w:r>
            <w:r>
              <w:rPr>
                <w:rFonts w:ascii="Arial" w:eastAsia="Arial" w:hAnsi="Arial" w:cs="Arial"/>
                <w:color w:val="000000"/>
              </w:rPr>
              <w:tab/>
              <w:t>1</w:t>
            </w:r>
          </w:hyperlink>
          <w:r>
            <w:rPr>
              <w:rFonts w:ascii="Arial" w:eastAsia="Arial" w:hAnsi="Arial" w:cs="Arial"/>
            </w:rPr>
            <w:t>9</w:t>
          </w:r>
        </w:p>
        <w:p w14:paraId="45746357" w14:textId="77777777" w:rsidR="00C4460F" w:rsidRDefault="00C4460F">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p>
        <w:p w14:paraId="1D13D893"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avbxy689xzz2">
            <w:r>
              <w:rPr>
                <w:rFonts w:ascii="Arial" w:eastAsia="Arial" w:hAnsi="Arial" w:cs="Arial"/>
                <w:color w:val="000000"/>
              </w:rPr>
              <w:t>GRADUATE STUDENT ACADEMIC APPOINTMENTS</w:t>
            </w:r>
            <w:r>
              <w:rPr>
                <w:rFonts w:ascii="Arial" w:eastAsia="Arial" w:hAnsi="Arial" w:cs="Arial"/>
                <w:color w:val="000000"/>
              </w:rPr>
              <w:tab/>
              <w:t>1</w:t>
            </w:r>
          </w:hyperlink>
          <w:r>
            <w:rPr>
              <w:rFonts w:ascii="Arial" w:eastAsia="Arial" w:hAnsi="Arial" w:cs="Arial"/>
            </w:rPr>
            <w:t>9</w:t>
          </w:r>
        </w:p>
        <w:p w14:paraId="1D683C52"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91n6r34ybjn9">
            <w:r>
              <w:rPr>
                <w:rFonts w:ascii="Arial" w:eastAsia="Arial" w:hAnsi="Arial" w:cs="Arial"/>
                <w:color w:val="000000"/>
              </w:rPr>
              <w:t>Teaching Assistantships (TA):</w:t>
            </w:r>
            <w:r>
              <w:rPr>
                <w:rFonts w:ascii="Arial" w:eastAsia="Arial" w:hAnsi="Arial" w:cs="Arial"/>
                <w:color w:val="000000"/>
              </w:rPr>
              <w:tab/>
            </w:r>
          </w:hyperlink>
          <w:r>
            <w:rPr>
              <w:rFonts w:ascii="Arial" w:eastAsia="Arial" w:hAnsi="Arial" w:cs="Arial"/>
            </w:rPr>
            <w:t>20</w:t>
          </w:r>
        </w:p>
        <w:p w14:paraId="42DEE31D"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52jpa08m2fvi">
            <w:r>
              <w:rPr>
                <w:rFonts w:ascii="Arial" w:eastAsia="Arial" w:hAnsi="Arial" w:cs="Arial"/>
                <w:color w:val="000000"/>
              </w:rPr>
              <w:t>UAW Bargaining Agreement for Academic Student Employees (ASE)</w:t>
            </w:r>
            <w:r>
              <w:rPr>
                <w:rFonts w:ascii="Arial" w:eastAsia="Arial" w:hAnsi="Arial" w:cs="Arial"/>
                <w:color w:val="000000"/>
              </w:rPr>
              <w:tab/>
            </w:r>
          </w:hyperlink>
          <w:r>
            <w:rPr>
              <w:rFonts w:ascii="Arial" w:eastAsia="Arial" w:hAnsi="Arial" w:cs="Arial"/>
            </w:rPr>
            <w:t>20</w:t>
          </w:r>
        </w:p>
        <w:p w14:paraId="7BBBBAC1"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qf2j8swnsgct">
            <w:r>
              <w:rPr>
                <w:rFonts w:ascii="Arial" w:eastAsia="Arial" w:hAnsi="Arial" w:cs="Arial"/>
                <w:color w:val="000000"/>
              </w:rPr>
              <w:t>Employment Benefits for TAs &amp; GSRs:</w:t>
            </w:r>
            <w:r>
              <w:rPr>
                <w:rFonts w:ascii="Arial" w:eastAsia="Arial" w:hAnsi="Arial" w:cs="Arial"/>
                <w:color w:val="000000"/>
              </w:rPr>
              <w:tab/>
              <w:t>2</w:t>
            </w:r>
          </w:hyperlink>
          <w:r>
            <w:rPr>
              <w:rFonts w:ascii="Arial" w:eastAsia="Arial" w:hAnsi="Arial" w:cs="Arial"/>
            </w:rPr>
            <w:t>1</w:t>
          </w:r>
        </w:p>
        <w:p w14:paraId="6BF87B8A"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q7i6rljns4w2">
            <w:r>
              <w:rPr>
                <w:rFonts w:ascii="Arial" w:eastAsia="Arial" w:hAnsi="Arial" w:cs="Arial"/>
                <w:color w:val="000000"/>
              </w:rPr>
              <w:t>Super Reader:</w:t>
            </w:r>
            <w:r>
              <w:rPr>
                <w:rFonts w:ascii="Arial" w:eastAsia="Arial" w:hAnsi="Arial" w:cs="Arial"/>
                <w:color w:val="000000"/>
              </w:rPr>
              <w:tab/>
              <w:t>2</w:t>
            </w:r>
          </w:hyperlink>
          <w:r>
            <w:rPr>
              <w:rFonts w:ascii="Arial" w:eastAsia="Arial" w:hAnsi="Arial" w:cs="Arial"/>
            </w:rPr>
            <w:t>2</w:t>
          </w:r>
        </w:p>
        <w:p w14:paraId="36A85FE2"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j7xv9sqsa4">
            <w:r>
              <w:rPr>
                <w:rFonts w:ascii="Arial" w:eastAsia="Arial" w:hAnsi="Arial" w:cs="Arial"/>
                <w:color w:val="000000"/>
              </w:rPr>
              <w:t>Need-Based Financial Support:</w:t>
            </w:r>
            <w:r>
              <w:rPr>
                <w:rFonts w:ascii="Arial" w:eastAsia="Arial" w:hAnsi="Arial" w:cs="Arial"/>
                <w:color w:val="000000"/>
              </w:rPr>
              <w:tab/>
              <w:t>2</w:t>
            </w:r>
          </w:hyperlink>
          <w:r>
            <w:rPr>
              <w:rFonts w:ascii="Arial" w:eastAsia="Arial" w:hAnsi="Arial" w:cs="Arial"/>
            </w:rPr>
            <w:t>2</w:t>
          </w:r>
          <w:r>
            <w:rPr>
              <w:rFonts w:ascii="Arial" w:eastAsia="Arial" w:hAnsi="Arial" w:cs="Arial"/>
              <w:color w:val="000000"/>
            </w:rPr>
            <w:t xml:space="preserve">        </w:t>
          </w:r>
        </w:p>
        <w:p w14:paraId="74733997"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4f6eg7pewugn">
            <w:r>
              <w:rPr>
                <w:rFonts w:ascii="Arial" w:eastAsia="Arial" w:hAnsi="Arial" w:cs="Arial"/>
                <w:color w:val="000000"/>
              </w:rPr>
              <w:t>Establishing Residency</w:t>
            </w:r>
            <w:r>
              <w:rPr>
                <w:rFonts w:ascii="Arial" w:eastAsia="Arial" w:hAnsi="Arial" w:cs="Arial"/>
                <w:color w:val="000000"/>
              </w:rPr>
              <w:tab/>
              <w:t>2</w:t>
            </w:r>
          </w:hyperlink>
          <w:r>
            <w:rPr>
              <w:rFonts w:ascii="Arial" w:eastAsia="Arial" w:hAnsi="Arial" w:cs="Arial"/>
            </w:rPr>
            <w:t>2</w:t>
          </w:r>
        </w:p>
        <w:p w14:paraId="0375438E" w14:textId="77777777" w:rsidR="00C4460F" w:rsidRDefault="00C4460F">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p>
        <w:p w14:paraId="44AD4F11" w14:textId="77777777" w:rsidR="00C4460F"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if9y7zkw3hsm">
            <w:r>
              <w:rPr>
                <w:rFonts w:ascii="Arial" w:eastAsia="Arial" w:hAnsi="Arial" w:cs="Arial"/>
                <w:color w:val="000000"/>
              </w:rPr>
              <w:t>GRADUATE STUDENT TRAVEL FUNDS</w:t>
            </w:r>
            <w:r>
              <w:rPr>
                <w:rFonts w:ascii="Arial" w:eastAsia="Arial" w:hAnsi="Arial" w:cs="Arial"/>
                <w:color w:val="000000"/>
              </w:rPr>
              <w:tab/>
              <w:t>2</w:t>
            </w:r>
          </w:hyperlink>
          <w:r>
            <w:rPr>
              <w:rFonts w:ascii="Arial" w:eastAsia="Arial" w:hAnsi="Arial" w:cs="Arial"/>
            </w:rPr>
            <w:t>3</w:t>
          </w:r>
        </w:p>
        <w:p w14:paraId="47BF06A8" w14:textId="77777777" w:rsidR="00C4460F"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hyperlink w:anchor="_heading=h.zud3ogw9rn6">
            <w:r>
              <w:rPr>
                <w:rFonts w:ascii="Arial" w:eastAsia="Arial" w:hAnsi="Arial" w:cs="Arial"/>
                <w:color w:val="000000"/>
              </w:rPr>
              <w:t>APPENDIX</w:t>
            </w:r>
            <w:r>
              <w:rPr>
                <w:rFonts w:ascii="Arial" w:eastAsia="Arial" w:hAnsi="Arial" w:cs="Arial"/>
                <w:color w:val="000000"/>
              </w:rPr>
              <w:tab/>
              <w:t>2</w:t>
            </w:r>
          </w:hyperlink>
          <w:r>
            <w:rPr>
              <w:rFonts w:ascii="Arial" w:eastAsia="Arial" w:hAnsi="Arial" w:cs="Arial"/>
            </w:rPr>
            <w:t>4</w:t>
          </w:r>
        </w:p>
        <w:p w14:paraId="066F3FD0" w14:textId="77777777" w:rsidR="00C4460F" w:rsidRDefault="00000000">
          <w:pPr>
            <w:spacing w:line="276" w:lineRule="auto"/>
            <w:rPr>
              <w:rFonts w:ascii="Arial" w:eastAsia="Arial" w:hAnsi="Arial" w:cs="Arial"/>
            </w:rPr>
          </w:pPr>
          <w:r>
            <w:fldChar w:fldCharType="end"/>
          </w:r>
        </w:p>
      </w:sdtContent>
    </w:sdt>
    <w:p w14:paraId="74EFCDCD" w14:textId="77777777" w:rsidR="00C4460F" w:rsidRDefault="00C4460F">
      <w:pPr>
        <w:widowControl w:val="0"/>
        <w:spacing w:line="276" w:lineRule="auto"/>
        <w:rPr>
          <w:rFonts w:ascii="Arial" w:eastAsia="Arial" w:hAnsi="Arial" w:cs="Arial"/>
        </w:rPr>
        <w:sectPr w:rsidR="00C4460F">
          <w:headerReference w:type="even" r:id="rId12"/>
          <w:headerReference w:type="default" r:id="rId13"/>
          <w:footerReference w:type="default" r:id="rId14"/>
          <w:headerReference w:type="first" r:id="rId15"/>
          <w:pgSz w:w="12240" w:h="15840"/>
          <w:pgMar w:top="1440" w:right="1440" w:bottom="1440" w:left="1440" w:header="0" w:footer="850" w:gutter="0"/>
          <w:pgNumType w:start="0"/>
          <w:cols w:space="720"/>
          <w:titlePg/>
        </w:sectPr>
      </w:pPr>
      <w:bookmarkStart w:id="0" w:name="_heading=h.w8djshti8mw2" w:colFirst="0" w:colLast="0"/>
      <w:bookmarkEnd w:id="0"/>
    </w:p>
    <w:p w14:paraId="2EB71700" w14:textId="77777777" w:rsidR="00C4460F" w:rsidRDefault="00000000">
      <w:pPr>
        <w:pStyle w:val="Heading3"/>
        <w:tabs>
          <w:tab w:val="right" w:pos="720"/>
        </w:tabs>
        <w:spacing w:line="276" w:lineRule="auto"/>
        <w:ind w:left="0"/>
        <w:rPr>
          <w:rFonts w:ascii="Arial" w:eastAsia="Arial" w:hAnsi="Arial" w:cs="Arial"/>
          <w:b w:val="0"/>
          <w:bCs w:val="0"/>
          <w:sz w:val="26"/>
          <w:szCs w:val="26"/>
        </w:rPr>
      </w:pPr>
      <w:r>
        <w:rPr>
          <w:rFonts w:ascii="Arial" w:eastAsia="Arial" w:hAnsi="Arial" w:cs="Arial"/>
          <w:b w:val="0"/>
          <w:bCs w:val="0"/>
          <w:color w:val="231F20"/>
          <w:sz w:val="26"/>
          <w:szCs w:val="26"/>
        </w:rPr>
        <w:lastRenderedPageBreak/>
        <w:t>INTRODUCTION</w:t>
      </w:r>
    </w:p>
    <w:p w14:paraId="40FA39A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Welcome to the UCSB Department of Film and Media Studies graduate program! This Handbook was created especially for you, the graduate students of Film and Media Studies, and we hope you will find it to be a useful resource. Please read the Handbook carefully and refer to it as needed. Our faculty and Graduate Program Advisor (GPA) are also available to respond to questions and any concerns. Although we strive to keep this document up to date, official catalog and Graduate Division information is to be regarded as policy of record. The Film and Media Studies Department also reserves the right to make changes at any time without it being immediately updated in the Handbook.</w:t>
      </w:r>
    </w:p>
    <w:p w14:paraId="5A81E580"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44E3DAF" w14:textId="77777777" w:rsidR="00C4460F" w:rsidRDefault="00C4460F">
      <w:pPr>
        <w:tabs>
          <w:tab w:val="right" w:pos="720"/>
        </w:tabs>
        <w:spacing w:line="276" w:lineRule="auto"/>
        <w:rPr>
          <w:rFonts w:ascii="Arial" w:eastAsia="Arial" w:hAnsi="Arial" w:cs="Arial"/>
          <w:sz w:val="20"/>
          <w:szCs w:val="20"/>
        </w:rPr>
      </w:pPr>
    </w:p>
    <w:p w14:paraId="08A148C8" w14:textId="77777777" w:rsidR="00C4460F" w:rsidRDefault="00000000">
      <w:pPr>
        <w:pStyle w:val="Heading3"/>
        <w:tabs>
          <w:tab w:val="right" w:pos="720"/>
        </w:tabs>
        <w:spacing w:line="276" w:lineRule="auto"/>
        <w:ind w:left="0"/>
        <w:rPr>
          <w:rFonts w:ascii="Arial" w:eastAsia="Arial" w:hAnsi="Arial" w:cs="Arial"/>
          <w:b w:val="0"/>
          <w:bCs w:val="0"/>
          <w:sz w:val="26"/>
          <w:szCs w:val="26"/>
        </w:rPr>
      </w:pPr>
      <w:bookmarkStart w:id="1" w:name="_heading=h.4i6otw3r4l1z" w:colFirst="0" w:colLast="0"/>
      <w:bookmarkEnd w:id="1"/>
      <w:r>
        <w:rPr>
          <w:rFonts w:ascii="Arial" w:eastAsia="Arial" w:hAnsi="Arial" w:cs="Arial"/>
          <w:b w:val="0"/>
          <w:bCs w:val="0"/>
          <w:color w:val="231F20"/>
          <w:sz w:val="26"/>
          <w:szCs w:val="26"/>
        </w:rPr>
        <w:t xml:space="preserve">THE UCSB FILM AND MEDIA STUDIES PROGRAM OVERVIEW </w:t>
      </w:r>
    </w:p>
    <w:p w14:paraId="2E71CAD8"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 UCSB Film and Media Studies Department was established in 1973 as a small, undergraduate film studies program composed of interdepartmental faculty and visiting lecturers. After years of great success, it attained departmental status in 1995. Currently, we have </w:t>
      </w:r>
      <w:proofErr w:type="gramStart"/>
      <w:r>
        <w:rPr>
          <w:rFonts w:ascii="Arial" w:eastAsia="Arial" w:hAnsi="Arial" w:cs="Arial"/>
          <w:color w:val="231F20"/>
          <w:sz w:val="20"/>
          <w:szCs w:val="20"/>
        </w:rPr>
        <w:t>approximately  600</w:t>
      </w:r>
      <w:proofErr w:type="gramEnd"/>
      <w:r>
        <w:rPr>
          <w:rFonts w:ascii="Arial" w:eastAsia="Arial" w:hAnsi="Arial" w:cs="Arial"/>
          <w:color w:val="231F20"/>
          <w:sz w:val="20"/>
          <w:szCs w:val="20"/>
        </w:rPr>
        <w:t xml:space="preserve"> undergraduate majors and 30 graduate students engaged in the humanistic study of film and other media forms as important social, cultural and political phenomena. While large enough to cover a broad range of fields, the department is known for its personal atmosphere where individual interests and abilities are nurtured. The M.A./Ph.D. Program was inaugurated in 2005 and consists of </w:t>
      </w:r>
      <w:proofErr w:type="gramStart"/>
      <w:r>
        <w:rPr>
          <w:rFonts w:ascii="Arial" w:eastAsia="Arial" w:hAnsi="Arial" w:cs="Arial"/>
          <w:color w:val="231F20"/>
          <w:sz w:val="20"/>
          <w:szCs w:val="20"/>
        </w:rPr>
        <w:t>two degree</w:t>
      </w:r>
      <w:proofErr w:type="gramEnd"/>
      <w:r>
        <w:rPr>
          <w:rFonts w:ascii="Arial" w:eastAsia="Arial" w:hAnsi="Arial" w:cs="Arial"/>
          <w:color w:val="231F20"/>
          <w:sz w:val="20"/>
          <w:szCs w:val="20"/>
        </w:rPr>
        <w:t xml:space="preserve"> tracks: the M.A./Ph.D. Degree; and the Ph.D.-Only Degree.</w:t>
      </w:r>
    </w:p>
    <w:p w14:paraId="5E7F7E0F"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C13EB20"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3301720" w14:textId="77777777" w:rsidR="00C4460F" w:rsidRDefault="00000000">
      <w:pPr>
        <w:pStyle w:val="Heading3"/>
        <w:tabs>
          <w:tab w:val="right" w:pos="720"/>
        </w:tabs>
        <w:spacing w:line="276" w:lineRule="auto"/>
        <w:ind w:left="0"/>
        <w:rPr>
          <w:rFonts w:ascii="Arial" w:eastAsia="Arial" w:hAnsi="Arial" w:cs="Arial"/>
          <w:b w:val="0"/>
          <w:bCs w:val="0"/>
          <w:color w:val="231F20"/>
          <w:sz w:val="26"/>
          <w:szCs w:val="26"/>
        </w:rPr>
      </w:pPr>
      <w:bookmarkStart w:id="2" w:name="_heading=h.m7w613uh4k7h" w:colFirst="0" w:colLast="0"/>
      <w:bookmarkEnd w:id="2"/>
      <w:r>
        <w:rPr>
          <w:rFonts w:ascii="Arial" w:eastAsia="Arial" w:hAnsi="Arial" w:cs="Arial"/>
          <w:b w:val="0"/>
          <w:bCs w:val="0"/>
          <w:color w:val="231F20"/>
          <w:sz w:val="26"/>
          <w:szCs w:val="26"/>
        </w:rPr>
        <w:t>AREAS OF EMPHASIS</w:t>
      </w:r>
    </w:p>
    <w:p w14:paraId="66F3DAB3"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Building on the strengths of the department and the campus, the graduate program emphasizes the study of film, television, and digital media from a humanistic perspective, within the broader context of global media culture. The program is designed to be:</w:t>
      </w:r>
    </w:p>
    <w:p w14:paraId="3419E816" w14:textId="77777777" w:rsidR="00C4460F" w:rsidRDefault="00000000">
      <w:pPr>
        <w:widowControl w:val="0"/>
        <w:numPr>
          <w:ilvl w:val="0"/>
          <w:numId w:val="19"/>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231F20"/>
          <w:sz w:val="18"/>
          <w:szCs w:val="18"/>
        </w:rPr>
        <w:t>Deeply rooted in the discipline of Film and Media Studies</w:t>
      </w:r>
    </w:p>
    <w:p w14:paraId="60E9636A" w14:textId="77777777" w:rsidR="00C4460F" w:rsidRDefault="00000000">
      <w:pPr>
        <w:widowControl w:val="0"/>
        <w:numPr>
          <w:ilvl w:val="0"/>
          <w:numId w:val="19"/>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231F20"/>
          <w:sz w:val="18"/>
          <w:szCs w:val="18"/>
        </w:rPr>
        <w:t>Strongly interdisciplinary, drawing on the talents and training of affiliated faculty in those companion departments where interest in the study of the modern media arts and industry is emerging and flourishing</w:t>
      </w:r>
    </w:p>
    <w:p w14:paraId="7497C806" w14:textId="77777777" w:rsidR="00C4460F" w:rsidRDefault="00000000">
      <w:pPr>
        <w:widowControl w:val="0"/>
        <w:numPr>
          <w:ilvl w:val="0"/>
          <w:numId w:val="19"/>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231F20"/>
          <w:sz w:val="18"/>
          <w:szCs w:val="18"/>
        </w:rPr>
        <w:t>International in its range of focus, allowing for the comparative study of diverse national cinemas and media institutions and practices within a global framework</w:t>
      </w:r>
    </w:p>
    <w:p w14:paraId="7DE18B4E" w14:textId="77777777" w:rsidR="00C4460F" w:rsidRDefault="00000000">
      <w:pPr>
        <w:widowControl w:val="0"/>
        <w:numPr>
          <w:ilvl w:val="0"/>
          <w:numId w:val="19"/>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231F20"/>
          <w:sz w:val="18"/>
          <w:szCs w:val="18"/>
        </w:rPr>
        <w:t>Innovative in its teaching and research methods</w:t>
      </w:r>
    </w:p>
    <w:p w14:paraId="50AA3C93"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DE2BC61"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We live at a time when the proliferation of moving images and sounds are accelerating at a rate that threatens to outpace our ability to grasp and comprehend their sources, impact, and potentialities. We inhabit a region of the world where the production, distribution, and archiving of moving images have long histories and are powerful engines of economic growth and social change. As film and media scholars, faculty members in the department investigate this phenomenon from historical, theoretical, and critical perspectives and seek to prepare students for intelligent, informed, and imaginative engagement with a wide range of filmic, photographic, televisual, and digital forms. Work by students and graduates of this program is shaping our future understanding of modern media culture and the production and circulation of moving images and sounds as aesthetic, technological, economic, and social forces.</w:t>
      </w:r>
    </w:p>
    <w:p w14:paraId="6E619B12"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186E678" w14:textId="77777777" w:rsidR="00C4460F" w:rsidRDefault="00C4460F">
      <w:pPr>
        <w:pStyle w:val="Heading3"/>
        <w:tabs>
          <w:tab w:val="right" w:pos="720"/>
        </w:tabs>
        <w:spacing w:line="276" w:lineRule="auto"/>
        <w:ind w:left="0"/>
        <w:rPr>
          <w:rFonts w:ascii="Arial" w:eastAsia="Arial" w:hAnsi="Arial" w:cs="Arial"/>
          <w:b w:val="0"/>
          <w:bCs w:val="0"/>
          <w:color w:val="231F20"/>
          <w:sz w:val="26"/>
          <w:szCs w:val="26"/>
        </w:rPr>
      </w:pPr>
    </w:p>
    <w:p w14:paraId="1F4456D9" w14:textId="77777777" w:rsidR="00C4460F" w:rsidRDefault="00000000">
      <w:pPr>
        <w:pStyle w:val="Heading3"/>
        <w:tabs>
          <w:tab w:val="right" w:pos="720"/>
        </w:tabs>
        <w:spacing w:line="276" w:lineRule="auto"/>
        <w:ind w:left="0"/>
        <w:rPr>
          <w:rFonts w:ascii="Arial" w:eastAsia="Arial" w:hAnsi="Arial" w:cs="Arial"/>
          <w:b w:val="0"/>
          <w:bCs w:val="0"/>
          <w:color w:val="231F20"/>
          <w:sz w:val="26"/>
          <w:szCs w:val="26"/>
        </w:rPr>
      </w:pPr>
      <w:bookmarkStart w:id="3" w:name="_heading=h.wppxuevxfwfl" w:colFirst="0" w:colLast="0"/>
      <w:bookmarkEnd w:id="3"/>
      <w:r>
        <w:rPr>
          <w:rFonts w:ascii="Arial" w:eastAsia="Arial" w:hAnsi="Arial" w:cs="Arial"/>
          <w:b w:val="0"/>
          <w:bCs w:val="0"/>
          <w:color w:val="231F20"/>
          <w:sz w:val="26"/>
          <w:szCs w:val="26"/>
        </w:rPr>
        <w:t>THE FACULTY</w:t>
      </w:r>
    </w:p>
    <w:p w14:paraId="1BC480BA"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b/>
          <w:bCs/>
          <w:color w:val="231F20"/>
          <w:sz w:val="20"/>
          <w:szCs w:val="20"/>
          <w:u w:val="single"/>
        </w:rPr>
        <w:t>Peter Bloom</w:t>
      </w:r>
      <w:r>
        <w:rPr>
          <w:rFonts w:ascii="Arial" w:eastAsia="Arial" w:hAnsi="Arial" w:cs="Arial"/>
          <w:b/>
          <w:bCs/>
          <w:color w:val="231F20"/>
          <w:sz w:val="20"/>
          <w:szCs w:val="20"/>
        </w:rPr>
        <w:t xml:space="preserve"> </w:t>
      </w:r>
      <w:r>
        <w:rPr>
          <w:rFonts w:ascii="Arial" w:eastAsia="Arial" w:hAnsi="Arial" w:cs="Arial"/>
          <w:color w:val="231F20"/>
          <w:sz w:val="20"/>
          <w:szCs w:val="20"/>
        </w:rPr>
        <w:t>Professor of Film and Media Studies, Specializations: Media Archaeology, Francophone and Anglophone Colonial Film and Radio, African and Southeast Asian Art and Media</w:t>
      </w:r>
    </w:p>
    <w:p w14:paraId="5C8B1465"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b/>
          <w:bCs/>
          <w:color w:val="231F20"/>
          <w:sz w:val="20"/>
          <w:szCs w:val="20"/>
          <w:u w:val="single"/>
        </w:rPr>
        <w:t>Anna Brusutti</w:t>
      </w:r>
      <w:r>
        <w:rPr>
          <w:rFonts w:ascii="Arial" w:eastAsia="Arial" w:hAnsi="Arial" w:cs="Arial"/>
          <w:b/>
          <w:bCs/>
          <w:color w:val="231F20"/>
          <w:sz w:val="20"/>
          <w:szCs w:val="20"/>
        </w:rPr>
        <w:t xml:space="preserve"> </w:t>
      </w:r>
      <w:r>
        <w:rPr>
          <w:rFonts w:ascii="Arial" w:eastAsia="Arial" w:hAnsi="Arial" w:cs="Arial"/>
          <w:color w:val="231F20"/>
          <w:sz w:val="20"/>
          <w:szCs w:val="20"/>
        </w:rPr>
        <w:t xml:space="preserve">Film and Media Studies Senior Lecturer, Specializations: Introduction to Cinema, Italian </w:t>
      </w:r>
      <w:r>
        <w:rPr>
          <w:rFonts w:ascii="Arial" w:eastAsia="Arial" w:hAnsi="Arial" w:cs="Arial"/>
          <w:color w:val="231F20"/>
          <w:sz w:val="20"/>
          <w:szCs w:val="20"/>
        </w:rPr>
        <w:lastRenderedPageBreak/>
        <w:t>Comedy</w:t>
      </w:r>
    </w:p>
    <w:p w14:paraId="5E9A42B4"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Alenda Chang</w:t>
      </w:r>
      <w:r>
        <w:rPr>
          <w:rFonts w:ascii="Arial" w:eastAsia="Arial" w:hAnsi="Arial" w:cs="Arial"/>
          <w:b/>
          <w:bCs/>
          <w:sz w:val="20"/>
          <w:szCs w:val="20"/>
        </w:rPr>
        <w:t xml:space="preserve"> </w:t>
      </w:r>
      <w:r>
        <w:rPr>
          <w:rFonts w:ascii="Arial" w:eastAsia="Arial" w:hAnsi="Arial" w:cs="Arial"/>
          <w:sz w:val="20"/>
          <w:szCs w:val="20"/>
        </w:rPr>
        <w:t>Associate Professor of Film and Media Studies, Specializations: Environmental media, game studies</w:t>
      </w:r>
    </w:p>
    <w:p w14:paraId="5EFDCF53"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 xml:space="preserve">Mona </w:t>
      </w:r>
      <w:proofErr w:type="spellStart"/>
      <w:r>
        <w:rPr>
          <w:rFonts w:ascii="Arial" w:eastAsia="Arial" w:hAnsi="Arial" w:cs="Arial"/>
          <w:b/>
          <w:bCs/>
          <w:sz w:val="20"/>
          <w:szCs w:val="20"/>
          <w:u w:val="single"/>
        </w:rPr>
        <w:t>Damluji</w:t>
      </w:r>
      <w:proofErr w:type="spellEnd"/>
      <w:r>
        <w:rPr>
          <w:rFonts w:ascii="Arial" w:eastAsia="Arial" w:hAnsi="Arial" w:cs="Arial"/>
          <w:b/>
          <w:bCs/>
          <w:sz w:val="20"/>
          <w:szCs w:val="20"/>
          <w:u w:val="single"/>
        </w:rPr>
        <w:t xml:space="preserve"> </w:t>
      </w:r>
      <w:r>
        <w:rPr>
          <w:rFonts w:ascii="Arial" w:eastAsia="Arial" w:hAnsi="Arial" w:cs="Arial"/>
          <w:sz w:val="20"/>
          <w:szCs w:val="20"/>
        </w:rPr>
        <w:t>Assistant Professor of Film and Media Studies, Specializations: Cultural Studies of Energy/ Environment, Middle East Film and Media, Urban Studies</w:t>
      </w:r>
    </w:p>
    <w:p w14:paraId="4A079E7C"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Jennifer Holt</w:t>
      </w:r>
      <w:r>
        <w:rPr>
          <w:rFonts w:ascii="Arial" w:eastAsia="Arial" w:hAnsi="Arial" w:cs="Arial"/>
          <w:b/>
          <w:bCs/>
          <w:sz w:val="20"/>
          <w:szCs w:val="20"/>
        </w:rPr>
        <w:t xml:space="preserve"> </w:t>
      </w:r>
      <w:r>
        <w:rPr>
          <w:rFonts w:ascii="Arial" w:eastAsia="Arial" w:hAnsi="Arial" w:cs="Arial"/>
          <w:sz w:val="20"/>
          <w:szCs w:val="20"/>
        </w:rPr>
        <w:t xml:space="preserve">Professor and Chair of Film and Media Studies, Specializations: Media Industry Studies, Policy and Regulation, Digital Media, Media History and Historiography </w:t>
      </w:r>
    </w:p>
    <w:p w14:paraId="2157D424"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Chris Jenkins</w:t>
      </w:r>
      <w:r>
        <w:rPr>
          <w:rFonts w:ascii="Arial" w:eastAsia="Arial" w:hAnsi="Arial" w:cs="Arial"/>
          <w:b/>
          <w:bCs/>
          <w:sz w:val="20"/>
          <w:szCs w:val="20"/>
        </w:rPr>
        <w:t xml:space="preserve"> </w:t>
      </w:r>
      <w:r>
        <w:rPr>
          <w:rFonts w:ascii="Arial" w:eastAsia="Arial" w:hAnsi="Arial" w:cs="Arial"/>
          <w:sz w:val="20"/>
          <w:szCs w:val="20"/>
        </w:rPr>
        <w:t>Head of Production, Specializations: Documentary production, Cinematography, Editing</w:t>
      </w:r>
    </w:p>
    <w:p w14:paraId="41721B6E"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Jason Ludwig</w:t>
      </w:r>
      <w:r>
        <w:rPr>
          <w:rFonts w:ascii="Arial" w:eastAsia="Arial" w:hAnsi="Arial" w:cs="Arial"/>
          <w:sz w:val="20"/>
          <w:szCs w:val="20"/>
        </w:rPr>
        <w:t xml:space="preserve"> Assistant Professor of Film and Media Studies, Specializations: Digital Media, Science and Technology Studies</w:t>
      </w:r>
    </w:p>
    <w:p w14:paraId="5193273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James McNamara</w:t>
      </w:r>
      <w:r>
        <w:rPr>
          <w:rFonts w:ascii="Arial" w:eastAsia="Arial" w:hAnsi="Arial" w:cs="Arial"/>
          <w:sz w:val="20"/>
          <w:szCs w:val="20"/>
        </w:rPr>
        <w:t xml:space="preserve"> Associate Teaching Professor of Film and Media Studies, Specializations: Adaptation Studies, Film and Television Narrative, Screen Dramaturgy, and Screenwriting</w:t>
      </w:r>
    </w:p>
    <w:p w14:paraId="15539A0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Ross Melnick</w:t>
      </w:r>
      <w:r>
        <w:rPr>
          <w:rFonts w:ascii="Arial" w:eastAsia="Arial" w:hAnsi="Arial" w:cs="Arial"/>
          <w:b/>
          <w:bCs/>
          <w:sz w:val="20"/>
          <w:szCs w:val="20"/>
        </w:rPr>
        <w:t xml:space="preserve"> </w:t>
      </w:r>
      <w:r>
        <w:rPr>
          <w:rFonts w:ascii="Arial" w:eastAsia="Arial" w:hAnsi="Arial" w:cs="Arial"/>
          <w:sz w:val="20"/>
          <w:szCs w:val="20"/>
        </w:rPr>
        <w:t>Professor of Film and Media Studies, Specializations: Archive Theory and Practice</w:t>
      </w:r>
    </w:p>
    <w:p w14:paraId="43480755"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Lisa Parks</w:t>
      </w:r>
      <w:r>
        <w:rPr>
          <w:rFonts w:ascii="Arial" w:eastAsia="Arial" w:hAnsi="Arial" w:cs="Arial"/>
          <w:sz w:val="20"/>
          <w:szCs w:val="20"/>
        </w:rPr>
        <w:t xml:space="preserve"> Distinguished Professor of Film and Media Studies, Specializations: Media Globalization, Media Infrastructure Studies, Television Studies</w:t>
      </w:r>
    </w:p>
    <w:p w14:paraId="3D4E2218"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Patrice Petro</w:t>
      </w:r>
      <w:r>
        <w:rPr>
          <w:rFonts w:ascii="Arial" w:eastAsia="Arial" w:hAnsi="Arial" w:cs="Arial"/>
          <w:b/>
          <w:bCs/>
          <w:sz w:val="20"/>
          <w:szCs w:val="20"/>
        </w:rPr>
        <w:t xml:space="preserve"> </w:t>
      </w:r>
      <w:r>
        <w:rPr>
          <w:rFonts w:ascii="Arial" w:eastAsia="Arial" w:hAnsi="Arial" w:cs="Arial"/>
          <w:sz w:val="20"/>
          <w:szCs w:val="20"/>
        </w:rPr>
        <w:t>Professor of Film and Media Studies, Presidential Chair of Media Studies, Specializations: Film and Media History, Criticism, and Theory; Theories of Modernism and Modernity, Globalization and Technology; Feminism and Critical Theory</w:t>
      </w:r>
    </w:p>
    <w:p w14:paraId="797EC0DE"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Bhaskar Sarkar</w:t>
      </w:r>
      <w:r>
        <w:rPr>
          <w:rFonts w:ascii="Arial" w:eastAsia="Arial" w:hAnsi="Arial" w:cs="Arial"/>
          <w:b/>
          <w:bCs/>
          <w:sz w:val="20"/>
          <w:szCs w:val="20"/>
        </w:rPr>
        <w:t xml:space="preserve"> </w:t>
      </w:r>
      <w:r>
        <w:rPr>
          <w:rFonts w:ascii="Arial" w:eastAsia="Arial" w:hAnsi="Arial" w:cs="Arial"/>
          <w:sz w:val="20"/>
          <w:szCs w:val="20"/>
        </w:rPr>
        <w:t>Professor of Film and Media Studies, Specializations: Post-Colonial Media Theory, Cultural Theory, Asian Cinemas</w:t>
      </w:r>
    </w:p>
    <w:p w14:paraId="0EB9EFCD"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Jordan Schonig</w:t>
      </w:r>
      <w:r>
        <w:rPr>
          <w:rFonts w:ascii="Arial" w:eastAsia="Arial" w:hAnsi="Arial" w:cs="Arial"/>
          <w:sz w:val="20"/>
          <w:szCs w:val="20"/>
        </w:rPr>
        <w:t xml:space="preserve"> Assistant Teaching Professor of Film and Media Studies, Specializations: Film Theory, Media Theory, Animation, Internet Culture, and Film and Philosophy</w:t>
      </w:r>
    </w:p>
    <w:p w14:paraId="0E313536"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Laila Shereen Sakr</w:t>
      </w:r>
      <w:r>
        <w:rPr>
          <w:rFonts w:ascii="Arial" w:eastAsia="Arial" w:hAnsi="Arial" w:cs="Arial"/>
          <w:b/>
          <w:bCs/>
          <w:sz w:val="20"/>
          <w:szCs w:val="20"/>
        </w:rPr>
        <w:t xml:space="preserve"> </w:t>
      </w:r>
      <w:r>
        <w:rPr>
          <w:rFonts w:ascii="Arial" w:eastAsia="Arial" w:hAnsi="Arial" w:cs="Arial"/>
          <w:sz w:val="20"/>
          <w:szCs w:val="20"/>
        </w:rPr>
        <w:t xml:space="preserve">Associate Professor of Film and Media Studies, Specializations: Media Arts, Digital Humanities, Data Visualization, </w:t>
      </w:r>
      <w:proofErr w:type="gramStart"/>
      <w:r>
        <w:rPr>
          <w:rFonts w:ascii="Arial" w:eastAsia="Arial" w:hAnsi="Arial" w:cs="Arial"/>
          <w:sz w:val="20"/>
          <w:szCs w:val="20"/>
        </w:rPr>
        <w:t>Social Media</w:t>
      </w:r>
      <w:proofErr w:type="gramEnd"/>
      <w:r>
        <w:rPr>
          <w:rFonts w:ascii="Arial" w:eastAsia="Arial" w:hAnsi="Arial" w:cs="Arial"/>
          <w:sz w:val="20"/>
          <w:szCs w:val="20"/>
        </w:rPr>
        <w:t>, Critical AI and Machine Learning, and Middle East Studies</w:t>
      </w:r>
      <w:r>
        <w:rPr>
          <w:rFonts w:ascii="Arial" w:eastAsia="Arial" w:hAnsi="Arial" w:cs="Arial"/>
          <w:sz w:val="20"/>
          <w:szCs w:val="20"/>
        </w:rPr>
        <w:br/>
      </w:r>
      <w:r>
        <w:rPr>
          <w:rFonts w:ascii="Arial" w:eastAsia="Arial" w:hAnsi="Arial" w:cs="Arial"/>
          <w:b/>
          <w:bCs/>
          <w:sz w:val="20"/>
          <w:szCs w:val="20"/>
          <w:u w:val="single"/>
        </w:rPr>
        <w:t>Greg Siegel</w:t>
      </w:r>
      <w:r>
        <w:rPr>
          <w:rFonts w:ascii="Arial" w:eastAsia="Arial" w:hAnsi="Arial" w:cs="Arial"/>
          <w:sz w:val="20"/>
          <w:szCs w:val="20"/>
        </w:rPr>
        <w:t xml:space="preserve"> Associate Professor of Film and Media Studies, Specializations: Media Studies, Cultural Studies, Science and Technology Studies</w:t>
      </w:r>
    </w:p>
    <w:p w14:paraId="10D312C4"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Cristina Venegas</w:t>
      </w:r>
      <w:r>
        <w:rPr>
          <w:rFonts w:ascii="Arial" w:eastAsia="Arial" w:hAnsi="Arial" w:cs="Arial"/>
          <w:b/>
          <w:bCs/>
          <w:sz w:val="20"/>
          <w:szCs w:val="20"/>
        </w:rPr>
        <w:t xml:space="preserve"> </w:t>
      </w:r>
      <w:r>
        <w:rPr>
          <w:rFonts w:ascii="Arial" w:eastAsia="Arial" w:hAnsi="Arial" w:cs="Arial"/>
          <w:sz w:val="20"/>
          <w:szCs w:val="20"/>
        </w:rPr>
        <w:t>Associate Professor of Film and Media Studies, Specializations: Cinema and Media of the Americas</w:t>
      </w:r>
    </w:p>
    <w:p w14:paraId="0C839AE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Althea Wasow</w:t>
      </w:r>
      <w:r>
        <w:rPr>
          <w:rFonts w:ascii="Arial" w:eastAsia="Arial" w:hAnsi="Arial" w:cs="Arial"/>
          <w:sz w:val="20"/>
          <w:szCs w:val="20"/>
        </w:rPr>
        <w:t xml:space="preserve"> Assistant Professor of Film and Media Studies, Specializations: Critical Race, Archaeology of Media Approaches to Modern Image Making, Cultural Studies    </w:t>
      </w:r>
    </w:p>
    <w:p w14:paraId="2FD993FD"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Naoki Yamamoto</w:t>
      </w:r>
      <w:r>
        <w:rPr>
          <w:rFonts w:ascii="Arial" w:eastAsia="Arial" w:hAnsi="Arial" w:cs="Arial"/>
          <w:b/>
          <w:bCs/>
          <w:sz w:val="20"/>
          <w:szCs w:val="20"/>
        </w:rPr>
        <w:t xml:space="preserve"> </w:t>
      </w:r>
      <w:r>
        <w:rPr>
          <w:rFonts w:ascii="Arial" w:eastAsia="Arial" w:hAnsi="Arial" w:cs="Arial"/>
          <w:sz w:val="20"/>
          <w:szCs w:val="20"/>
        </w:rPr>
        <w:t>Associate Professor of Film and Media Studies, Specializations: Film Theory, Asian Cinema, Documentary, Avant-garde Art, Cultural Theory, and Japanese Pop Culture</w:t>
      </w:r>
    </w:p>
    <w:p w14:paraId="490F1A1D"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369B621"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97D09E5"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CF18455" w14:textId="77777777" w:rsidR="00C4460F" w:rsidRDefault="00000000">
      <w:pPr>
        <w:pStyle w:val="Heading1"/>
        <w:tabs>
          <w:tab w:val="right" w:pos="720"/>
        </w:tabs>
        <w:spacing w:line="276" w:lineRule="auto"/>
        <w:ind w:left="0"/>
        <w:rPr>
          <w:rFonts w:ascii="Arial" w:eastAsia="Arial" w:hAnsi="Arial" w:cs="Arial"/>
          <w:b w:val="0"/>
          <w:bCs w:val="0"/>
          <w:color w:val="231F20"/>
        </w:rPr>
      </w:pPr>
      <w:bookmarkStart w:id="4" w:name="_heading=h.p85todn011we" w:colFirst="0" w:colLast="0"/>
      <w:bookmarkEnd w:id="4"/>
      <w:r>
        <w:rPr>
          <w:rFonts w:ascii="Arial" w:eastAsia="Arial" w:hAnsi="Arial" w:cs="Arial"/>
          <w:b w:val="0"/>
          <w:bCs w:val="0"/>
          <w:color w:val="231F20"/>
        </w:rPr>
        <w:t>DIRECTOR OF GRADUATE STUDIES (DGS)</w:t>
      </w:r>
    </w:p>
    <w:p w14:paraId="586EB188" w14:textId="77777777" w:rsidR="00C4460F" w:rsidRDefault="00C4460F">
      <w:pPr>
        <w:tabs>
          <w:tab w:val="right" w:pos="720"/>
        </w:tabs>
      </w:pPr>
    </w:p>
    <w:p w14:paraId="299D839A"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b/>
          <w:bCs/>
          <w:color w:val="231F20"/>
          <w:sz w:val="14"/>
          <w:szCs w:val="14"/>
        </w:rPr>
      </w:pPr>
      <w:r>
        <w:rPr>
          <w:rFonts w:ascii="Arial" w:eastAsia="Arial" w:hAnsi="Arial" w:cs="Arial"/>
          <w:color w:val="231F20"/>
          <w:sz w:val="20"/>
          <w:szCs w:val="20"/>
        </w:rPr>
        <w:t xml:space="preserve">Director of Graduate Studies 2025-26 is </w:t>
      </w:r>
      <w:r>
        <w:rPr>
          <w:rFonts w:ascii="Arial" w:eastAsia="Arial" w:hAnsi="Arial" w:cs="Arial"/>
          <w:b/>
          <w:bCs/>
          <w:color w:val="231F20"/>
          <w:sz w:val="20"/>
          <w:szCs w:val="20"/>
        </w:rPr>
        <w:t>Professor Laila Shereen Sakr</w:t>
      </w:r>
    </w:p>
    <w:p w14:paraId="1ACE7294"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D0E641D"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Each department’s Graduate Director is an official faculty representative of the Graduate Dean in matters affecting graduate students or graduate programs in the academic departments. The Graduate Director is an administrative position </w:t>
      </w:r>
      <w:proofErr w:type="gramStart"/>
      <w:r>
        <w:rPr>
          <w:rFonts w:ascii="Arial" w:eastAsia="Arial" w:hAnsi="Arial" w:cs="Arial"/>
          <w:color w:val="231F20"/>
          <w:sz w:val="20"/>
          <w:szCs w:val="20"/>
        </w:rPr>
        <w:t>appointed  by</w:t>
      </w:r>
      <w:proofErr w:type="gramEnd"/>
      <w:r>
        <w:rPr>
          <w:rFonts w:ascii="Arial" w:eastAsia="Arial" w:hAnsi="Arial" w:cs="Arial"/>
          <w:color w:val="231F20"/>
          <w:sz w:val="20"/>
          <w:szCs w:val="20"/>
        </w:rPr>
        <w:t xml:space="preserve"> the chair. The Graduate Director’s signature is the only departmental signature, other than the chairperson’s, recognized as official on forms and petitions presented by graduate students. The Graduate Director is the chairperson of the departmental Graduate Committee, and advises students on advancement to candidacy, considers their petitions to modify study areas, to add or drop courses, to waive or substitute requirements, to take leaves of absence, etc. The departmental Graduate Advisor should not be confused with the thesis/ dissertation advisor (the Chair of your thesis/dissertation committee).</w:t>
      </w:r>
    </w:p>
    <w:p w14:paraId="2C23B043"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02DBA40"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54F2722" w14:textId="77777777" w:rsidR="00C4460F" w:rsidRDefault="00000000">
      <w:pPr>
        <w:pStyle w:val="Heading1"/>
        <w:tabs>
          <w:tab w:val="right" w:pos="720"/>
        </w:tabs>
        <w:spacing w:line="276" w:lineRule="auto"/>
        <w:ind w:left="0"/>
        <w:rPr>
          <w:rFonts w:ascii="Arial" w:eastAsia="Arial" w:hAnsi="Arial" w:cs="Arial"/>
          <w:b w:val="0"/>
          <w:bCs w:val="0"/>
          <w:color w:val="231F20"/>
        </w:rPr>
      </w:pPr>
      <w:bookmarkStart w:id="5" w:name="_heading=h.3nx44ivz7i0j" w:colFirst="0" w:colLast="0"/>
      <w:bookmarkEnd w:id="5"/>
      <w:r>
        <w:rPr>
          <w:rFonts w:ascii="Arial" w:eastAsia="Arial" w:hAnsi="Arial" w:cs="Arial"/>
          <w:b w:val="0"/>
          <w:bCs w:val="0"/>
          <w:color w:val="231F20"/>
        </w:rPr>
        <w:t>THE GRADUATE PROGRAM ADVISOR (GPA)</w:t>
      </w:r>
    </w:p>
    <w:p w14:paraId="689CFCD2" w14:textId="77777777" w:rsidR="00C4460F" w:rsidRDefault="00C4460F">
      <w:pPr>
        <w:tabs>
          <w:tab w:val="right" w:pos="720"/>
        </w:tabs>
      </w:pPr>
    </w:p>
    <w:p w14:paraId="699BEA57"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b/>
          <w:bCs/>
          <w:color w:val="231F20"/>
          <w:sz w:val="20"/>
          <w:szCs w:val="20"/>
        </w:rPr>
      </w:pPr>
      <w:r>
        <w:rPr>
          <w:rFonts w:ascii="Arial" w:eastAsia="Arial" w:hAnsi="Arial" w:cs="Arial"/>
          <w:color w:val="231F20"/>
          <w:sz w:val="20"/>
          <w:szCs w:val="20"/>
        </w:rPr>
        <w:t xml:space="preserve">The Staff Graduate Program Advisor (GPA) is </w:t>
      </w:r>
      <w:r>
        <w:rPr>
          <w:rFonts w:ascii="Arial" w:eastAsia="Arial" w:hAnsi="Arial" w:cs="Arial"/>
          <w:b/>
          <w:bCs/>
          <w:color w:val="231F20"/>
          <w:sz w:val="20"/>
          <w:szCs w:val="20"/>
        </w:rPr>
        <w:t>Maddie O’Shea</w:t>
      </w:r>
    </w:p>
    <w:p w14:paraId="1D79F495"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AA8BDF6"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Staff Graduate Program Advisor provides administrative and clerical support for the graduate program (and sometimes a sympathetic ear). Assisting in the coordination of the admissions process, the GPA is often the student’s initial contact in the department. The GPA assists the graduate director in monitoring students’ progress toward their degrees and provides information about departmental and Graduate Division policies and procedures. The faculty and students alike rely heavily on the GPA for information, but faculty members and ultimately each student must be responsible for their own academic planning.</w:t>
      </w:r>
    </w:p>
    <w:p w14:paraId="668C6B4B"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3FD0FC9" w14:textId="77777777" w:rsidR="00C4460F" w:rsidRDefault="00000000">
      <w:pPr>
        <w:pStyle w:val="Heading1"/>
        <w:tabs>
          <w:tab w:val="right" w:pos="720"/>
        </w:tabs>
        <w:spacing w:line="276" w:lineRule="auto"/>
        <w:ind w:left="0"/>
        <w:rPr>
          <w:rFonts w:ascii="Arial" w:eastAsia="Arial" w:hAnsi="Arial" w:cs="Arial"/>
          <w:b w:val="0"/>
          <w:bCs w:val="0"/>
          <w:color w:val="231F20"/>
        </w:rPr>
      </w:pPr>
      <w:bookmarkStart w:id="6" w:name="_heading=h.uv0g2mz8cq6s" w:colFirst="0" w:colLast="0"/>
      <w:bookmarkEnd w:id="6"/>
      <w:r>
        <w:rPr>
          <w:rFonts w:ascii="Arial" w:eastAsia="Arial" w:hAnsi="Arial" w:cs="Arial"/>
          <w:b w:val="0"/>
          <w:bCs w:val="0"/>
          <w:color w:val="231F20"/>
        </w:rPr>
        <w:t>THE DEPARTMENTAL GRADUATE COMMITTEE</w:t>
      </w:r>
    </w:p>
    <w:p w14:paraId="0E536F4F" w14:textId="77777777" w:rsidR="00C4460F" w:rsidRDefault="00C4460F">
      <w:pPr>
        <w:tabs>
          <w:tab w:val="right" w:pos="720"/>
        </w:tabs>
      </w:pPr>
    </w:p>
    <w:p w14:paraId="31E1E2A5" w14:textId="77777777" w:rsidR="00C4460F" w:rsidRDefault="00000000">
      <w:pPr>
        <w:widowControl w:val="0"/>
        <w:tabs>
          <w:tab w:val="right" w:pos="720"/>
        </w:tabs>
        <w:spacing w:line="276" w:lineRule="auto"/>
        <w:ind w:right="117"/>
        <w:jc w:val="both"/>
      </w:pPr>
      <w:r>
        <w:rPr>
          <w:rFonts w:ascii="Arial" w:eastAsia="Arial" w:hAnsi="Arial" w:cs="Arial"/>
          <w:color w:val="231F20"/>
          <w:sz w:val="20"/>
          <w:szCs w:val="20"/>
        </w:rPr>
        <w:t xml:space="preserve">The departmental graduate committee are </w:t>
      </w:r>
      <w:r>
        <w:rPr>
          <w:rFonts w:ascii="Arial" w:eastAsia="Arial" w:hAnsi="Arial" w:cs="Arial"/>
          <w:b/>
          <w:bCs/>
          <w:color w:val="231F20"/>
          <w:sz w:val="20"/>
          <w:szCs w:val="20"/>
        </w:rPr>
        <w:t>Professors Jason Ludwig, Laila Shereen Sakr, Ross Melnick, Alenda Chang, Naoki Yamamoto, and Jennifer Holt</w:t>
      </w:r>
      <w:r>
        <w:rPr>
          <w:rFonts w:ascii="Arial" w:eastAsia="Arial" w:hAnsi="Arial" w:cs="Arial"/>
          <w:color w:val="231F20"/>
          <w:sz w:val="20"/>
          <w:szCs w:val="20"/>
        </w:rPr>
        <w:t>.</w:t>
      </w:r>
    </w:p>
    <w:p w14:paraId="41C0AF94"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81CA03A"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D3B9449" w14:textId="77777777" w:rsidR="00C4460F" w:rsidRDefault="00000000">
      <w:pPr>
        <w:pStyle w:val="Heading1"/>
        <w:tabs>
          <w:tab w:val="right" w:pos="720"/>
        </w:tabs>
        <w:spacing w:line="276" w:lineRule="auto"/>
        <w:ind w:left="0"/>
        <w:rPr>
          <w:rFonts w:ascii="Arial" w:eastAsia="Arial" w:hAnsi="Arial" w:cs="Arial"/>
          <w:b w:val="0"/>
          <w:bCs w:val="0"/>
          <w:color w:val="231F20"/>
        </w:rPr>
      </w:pPr>
      <w:bookmarkStart w:id="7" w:name="_heading=h.gfgtdmh024" w:colFirst="0" w:colLast="0"/>
      <w:bookmarkEnd w:id="7"/>
      <w:r>
        <w:rPr>
          <w:rFonts w:ascii="Arial" w:eastAsia="Arial" w:hAnsi="Arial" w:cs="Arial"/>
          <w:b w:val="0"/>
          <w:bCs w:val="0"/>
          <w:color w:val="231F20"/>
        </w:rPr>
        <w:t>FACULTY MENTORS</w:t>
      </w:r>
    </w:p>
    <w:p w14:paraId="11B46560"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Each graduate student will be assigned a Faculty Mentor upon arrival for their first year in the program. During the second year, students typically begin the year with the same faculty mentor. M.A. students select the chair (and committee) for their exams by the end of the fourth week of Winter Quarter in their second year. Ph.D. students select the chair (and members) of their Ph.D. committee by the end of the fourth week of Spring Quarter in their second year of the Ph.D. program.</w:t>
      </w:r>
    </w:p>
    <w:p w14:paraId="50A1D7D6"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 </w:t>
      </w:r>
    </w:p>
    <w:p w14:paraId="6BE1FCEA"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M.A. committee chairs as well as Ph.D. dissertation advisors are selected by the student, and the composition of these committees is selected in consultation with the committee chair. Committee chairs take over advising responsibilities from faculty mentors once they are selected by the student.</w:t>
      </w:r>
    </w:p>
    <w:p w14:paraId="57B0847C"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9D75D0B"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6193A39"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rPr>
      </w:pPr>
      <w:r>
        <w:rPr>
          <w:rFonts w:ascii="Arial" w:eastAsia="Arial" w:hAnsi="Arial" w:cs="Arial"/>
          <w:color w:val="231F20"/>
        </w:rPr>
        <w:t>REGISTRATION</w:t>
      </w:r>
    </w:p>
    <w:p w14:paraId="50DB84A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For the most accurate and current registration information and deadlines, always check the UCSB Registrar’s website </w:t>
      </w:r>
      <w:proofErr w:type="spellStart"/>
      <w:r>
        <w:rPr>
          <w:rFonts w:ascii="Arial" w:eastAsia="Arial" w:hAnsi="Arial" w:cs="Arial"/>
          <w:color w:val="231F20"/>
          <w:sz w:val="20"/>
          <w:szCs w:val="20"/>
        </w:rPr>
        <w:t>at:</w:t>
      </w:r>
      <w:hyperlink r:id="rId16">
        <w:r>
          <w:rPr>
            <w:rFonts w:ascii="Arial" w:eastAsia="Arial" w:hAnsi="Arial" w:cs="Arial"/>
            <w:color w:val="0000FF"/>
            <w:sz w:val="20"/>
            <w:szCs w:val="20"/>
            <w:u w:val="single"/>
          </w:rPr>
          <w:t>https</w:t>
        </w:r>
        <w:proofErr w:type="spellEnd"/>
        <w:r>
          <w:rPr>
            <w:rFonts w:ascii="Arial" w:eastAsia="Arial" w:hAnsi="Arial" w:cs="Arial"/>
            <w:color w:val="0000FF"/>
            <w:sz w:val="20"/>
            <w:szCs w:val="20"/>
            <w:u w:val="single"/>
          </w:rPr>
          <w:t>://registrar.sa.ucsb.edu</w:t>
        </w:r>
      </w:hyperlink>
    </w:p>
    <w:p w14:paraId="107C1239"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2D3C03F"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Students must enroll and pay fees by the deadlines printed each quarter in the “Schedule of Classes.” Those who fail to pay fees and/or to register by the date specified on the Registrar’s website will lapse in enrollment automatically and lose student status, as well as relinquish virtually all student privileges (university housing, library privileges, student health insurance, employment in TA, GSR or Associate titles). If your enrollment status lapses, you must petition for reinstatement. Reinstatement petitions are available from the Graduate Division or can be downloaded at:  </w:t>
      </w:r>
    </w:p>
    <w:p w14:paraId="1082D275"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17">
        <w:r>
          <w:rPr>
            <w:rFonts w:ascii="Arial" w:eastAsia="Arial" w:hAnsi="Arial" w:cs="Arial"/>
            <w:color w:val="0000FF"/>
            <w:sz w:val="20"/>
            <w:szCs w:val="20"/>
            <w:u w:val="single"/>
          </w:rPr>
          <w:t>https://www.graddiv.ucsb.edu/forms/reinstate-lapsed-status</w:t>
        </w:r>
      </w:hyperlink>
    </w:p>
    <w:p w14:paraId="05D0945F"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DD8BE07"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It is important to note that reinstatement is not guaranteed, especially if you have exceeded maximum time limits for completion of the degree.</w:t>
      </w:r>
    </w:p>
    <w:p w14:paraId="6EFEF140"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57A14DE"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sz w:val="20"/>
          <w:szCs w:val="20"/>
        </w:rPr>
        <w:t xml:space="preserve">It is recommended for out-of-state students to establish California residency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avoid paying Non-</w:t>
      </w:r>
      <w:r>
        <w:rPr>
          <w:rFonts w:ascii="Arial" w:eastAsia="Arial" w:hAnsi="Arial" w:cs="Arial"/>
          <w:sz w:val="20"/>
          <w:szCs w:val="20"/>
        </w:rPr>
        <w:lastRenderedPageBreak/>
        <w:t xml:space="preserve">Residential Supplemental Tuition fees. For non-California residents, these fees are upwards of $15,000. More about establishing California residency is listed </w:t>
      </w:r>
      <w:proofErr w:type="gramStart"/>
      <w:r>
        <w:rPr>
          <w:rFonts w:ascii="Arial" w:eastAsia="Arial" w:hAnsi="Arial" w:cs="Arial"/>
          <w:sz w:val="20"/>
          <w:szCs w:val="20"/>
        </w:rPr>
        <w:t>under Graduate</w:t>
      </w:r>
      <w:proofErr w:type="gramEnd"/>
      <w:r>
        <w:rPr>
          <w:rFonts w:ascii="Arial" w:eastAsia="Arial" w:hAnsi="Arial" w:cs="Arial"/>
          <w:sz w:val="20"/>
          <w:szCs w:val="20"/>
        </w:rPr>
        <w:t xml:space="preserve"> Student Academic Appointments. </w:t>
      </w:r>
    </w:p>
    <w:p w14:paraId="777F62C9"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CFDA690"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9EBD194" w14:textId="77777777" w:rsidR="00C4460F" w:rsidRDefault="00000000">
      <w:pPr>
        <w:pStyle w:val="Heading3"/>
        <w:tabs>
          <w:tab w:val="right" w:pos="720"/>
        </w:tabs>
        <w:spacing w:line="276" w:lineRule="auto"/>
        <w:ind w:left="0"/>
        <w:rPr>
          <w:rFonts w:ascii="Arial" w:eastAsia="Arial" w:hAnsi="Arial" w:cs="Arial"/>
          <w:b w:val="0"/>
          <w:bCs w:val="0"/>
          <w:sz w:val="22"/>
          <w:szCs w:val="22"/>
        </w:rPr>
      </w:pPr>
      <w:bookmarkStart w:id="8" w:name="_heading=h.qf5901q8sl0t" w:colFirst="0" w:colLast="0"/>
      <w:bookmarkEnd w:id="8"/>
      <w:r>
        <w:rPr>
          <w:rFonts w:ascii="Arial" w:eastAsia="Arial" w:hAnsi="Arial" w:cs="Arial"/>
          <w:b w:val="0"/>
          <w:bCs w:val="0"/>
          <w:color w:val="231F20"/>
          <w:sz w:val="22"/>
          <w:szCs w:val="22"/>
          <w:u w:val="single"/>
        </w:rPr>
        <w:t>Full-Time Enrollment</w:t>
      </w:r>
      <w:r>
        <w:rPr>
          <w:rFonts w:ascii="Arial" w:eastAsia="Arial" w:hAnsi="Arial" w:cs="Arial"/>
          <w:b w:val="0"/>
          <w:bCs w:val="0"/>
          <w:color w:val="231F20"/>
          <w:sz w:val="22"/>
          <w:szCs w:val="22"/>
        </w:rPr>
        <w:t>:</w:t>
      </w:r>
    </w:p>
    <w:p w14:paraId="46D410ED"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standard course load is 12 graduate units per quarter. Since resources come to the campus (and in turn to the Department) in the form of block grant fellowships, teaching assistantships, tuition fellowships, etc., based on the 12 graduate unit formula, it is strongly recommended that students enroll in 12 graduate units each quarter. If you cannot enroll in 12 units at the time of registration, you may have to provide a justification/reason. With the availability of 200 and 500 level courses (220, 234, 241, 594, 501, etc.) in the department, and graduate level courses offered in affiliated / approved departments and programs, students should have no problems enrolling in the required 12 graduate units per</w:t>
      </w:r>
      <w:r>
        <w:rPr>
          <w:rFonts w:ascii="Arial" w:eastAsia="Arial" w:hAnsi="Arial" w:cs="Arial"/>
          <w:sz w:val="20"/>
          <w:szCs w:val="20"/>
        </w:rPr>
        <w:t xml:space="preserve"> quarter. Students who are pre-ABD and looking to supplement their course loads to satisfy the standard 12 units can </w:t>
      </w:r>
      <w:proofErr w:type="gramStart"/>
      <w:r>
        <w:rPr>
          <w:rFonts w:ascii="Arial" w:eastAsia="Arial" w:hAnsi="Arial" w:cs="Arial"/>
          <w:sz w:val="20"/>
          <w:szCs w:val="20"/>
        </w:rPr>
        <w:t>also  enroll</w:t>
      </w:r>
      <w:proofErr w:type="gramEnd"/>
      <w:r>
        <w:rPr>
          <w:rFonts w:ascii="Arial" w:eastAsia="Arial" w:hAnsi="Arial" w:cs="Arial"/>
          <w:sz w:val="20"/>
          <w:szCs w:val="20"/>
        </w:rPr>
        <w:t xml:space="preserve"> in 597 (MA or PhD Exam Prep) or 599 (Dissertation Research and Writing). Tea</w:t>
      </w:r>
      <w:r>
        <w:rPr>
          <w:rFonts w:ascii="Arial" w:eastAsia="Arial" w:hAnsi="Arial" w:cs="Arial"/>
          <w:color w:val="231F20"/>
          <w:sz w:val="20"/>
          <w:szCs w:val="20"/>
        </w:rPr>
        <w:t>ching Assistants should be enrolled in FAMST 501, Teaching Assistant Practicum, each time they TA. This is a four-unit course. Combined with two graduate seminars, a student who is serving as a TA would then have a 12-unit load. There is no upper limit on the number of units a graduate student may take, although students should be careful about taking on too many courses.</w:t>
      </w:r>
    </w:p>
    <w:p w14:paraId="509A3F18" w14:textId="77777777" w:rsidR="00C4460F" w:rsidRDefault="00C4460F">
      <w:pPr>
        <w:pStyle w:val="Heading3"/>
        <w:tabs>
          <w:tab w:val="right" w:pos="720"/>
        </w:tabs>
        <w:spacing w:line="276" w:lineRule="auto"/>
        <w:ind w:left="0"/>
        <w:rPr>
          <w:rFonts w:ascii="Arial" w:eastAsia="Arial" w:hAnsi="Arial" w:cs="Arial"/>
          <w:b w:val="0"/>
          <w:bCs w:val="0"/>
          <w:color w:val="231F20"/>
          <w:sz w:val="22"/>
          <w:szCs w:val="22"/>
          <w:u w:val="single"/>
        </w:rPr>
      </w:pPr>
      <w:bookmarkStart w:id="9" w:name="_heading=h.50wy3twx1b1u" w:colFirst="0" w:colLast="0"/>
      <w:bookmarkEnd w:id="9"/>
    </w:p>
    <w:p w14:paraId="4873643E" w14:textId="77777777" w:rsidR="00C4460F" w:rsidRDefault="00000000">
      <w:pPr>
        <w:pStyle w:val="Heading3"/>
        <w:tabs>
          <w:tab w:val="right" w:pos="720"/>
        </w:tabs>
        <w:spacing w:line="276" w:lineRule="auto"/>
        <w:ind w:left="0"/>
        <w:rPr>
          <w:rFonts w:ascii="Arial" w:eastAsia="Arial" w:hAnsi="Arial" w:cs="Arial"/>
          <w:b w:val="0"/>
          <w:bCs w:val="0"/>
          <w:sz w:val="22"/>
          <w:szCs w:val="22"/>
        </w:rPr>
      </w:pPr>
      <w:bookmarkStart w:id="10" w:name="_heading=h.fk8h0c49qc97" w:colFirst="0" w:colLast="0"/>
      <w:bookmarkEnd w:id="10"/>
      <w:r>
        <w:rPr>
          <w:rFonts w:ascii="Arial" w:eastAsia="Arial" w:hAnsi="Arial" w:cs="Arial"/>
          <w:b w:val="0"/>
          <w:bCs w:val="0"/>
          <w:color w:val="231F20"/>
          <w:sz w:val="22"/>
          <w:szCs w:val="22"/>
          <w:u w:val="single"/>
        </w:rPr>
        <w:t>Grades/Incompletes</w:t>
      </w:r>
      <w:r>
        <w:rPr>
          <w:rFonts w:ascii="Arial" w:eastAsia="Arial" w:hAnsi="Arial" w:cs="Arial"/>
          <w:b w:val="0"/>
          <w:bCs w:val="0"/>
          <w:color w:val="231F20"/>
          <w:sz w:val="22"/>
          <w:szCs w:val="22"/>
        </w:rPr>
        <w:t>:</w:t>
      </w:r>
    </w:p>
    <w:p w14:paraId="0DD98747"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Letter grades assigned at UCSB are A, B, C, D and F. Non-letter grades are S (Satisfactory), U (Unsatisfactory), I (Incomplete), IP (In Progress), P (Passed), and NP (Not Passed).</w:t>
      </w:r>
      <w:r>
        <w:rPr>
          <w:rFonts w:ascii="Arial" w:eastAsia="Arial" w:hAnsi="Arial" w:cs="Arial"/>
          <w:b/>
          <w:bCs/>
          <w:color w:val="231F20"/>
          <w:sz w:val="20"/>
          <w:szCs w:val="20"/>
        </w:rPr>
        <w:t xml:space="preserve"> Please note that the S/U grades are for </w:t>
      </w:r>
      <w:r>
        <w:rPr>
          <w:rFonts w:ascii="Arial" w:eastAsia="Arial" w:hAnsi="Arial" w:cs="Arial"/>
          <w:b/>
          <w:bCs/>
          <w:sz w:val="20"/>
          <w:szCs w:val="20"/>
        </w:rPr>
        <w:t>graduate courses only; P/NP grades are for undergraduate courses.</w:t>
      </w:r>
      <w:r>
        <w:rPr>
          <w:rFonts w:ascii="Arial" w:eastAsia="Arial" w:hAnsi="Arial" w:cs="Arial"/>
          <w:sz w:val="20"/>
          <w:szCs w:val="20"/>
        </w:rPr>
        <w:t xml:space="preserve"> The grade S may be assigned only if the work is of B or better quality (not B-). In seminars, a B is the minimum passing grade. Only upper-division and graduate courses in which grades of A, B or S are received are counted toward satisfying graduate degree requirements. A student must get approval from the instructor </w:t>
      </w:r>
      <w:proofErr w:type="gramStart"/>
      <w:r>
        <w:rPr>
          <w:rFonts w:ascii="Arial" w:eastAsia="Arial" w:hAnsi="Arial" w:cs="Arial"/>
          <w:sz w:val="20"/>
          <w:szCs w:val="20"/>
        </w:rPr>
        <w:t>first, and</w:t>
      </w:r>
      <w:proofErr w:type="gramEnd"/>
      <w:r>
        <w:rPr>
          <w:rFonts w:ascii="Arial" w:eastAsia="Arial" w:hAnsi="Arial" w:cs="Arial"/>
          <w:sz w:val="20"/>
          <w:szCs w:val="20"/>
        </w:rPr>
        <w:t xml:space="preserve"> then petition the Office of the Registrar to obtain an Incomplete (I) grade. In the absence of this petition, a grade of F, NP, or</w:t>
      </w:r>
      <w:r>
        <w:rPr>
          <w:rFonts w:ascii="Arial" w:eastAsia="Arial" w:hAnsi="Arial" w:cs="Arial"/>
          <w:color w:val="231F20"/>
          <w:sz w:val="20"/>
          <w:szCs w:val="20"/>
        </w:rPr>
        <w:t xml:space="preserve"> U will be recorded. Incomplete grades must be completed by the end of the first quarter following the incomplete class, or the I grade will be changed automatically to an F, NP, or U.</w:t>
      </w:r>
      <w:r>
        <w:rPr>
          <w:rFonts w:ascii="Arial" w:eastAsia="Arial" w:hAnsi="Arial" w:cs="Arial"/>
          <w:color w:val="FF00FF"/>
          <w:sz w:val="20"/>
          <w:szCs w:val="20"/>
        </w:rPr>
        <w:t xml:space="preserve"> </w:t>
      </w:r>
    </w:p>
    <w:p w14:paraId="6D275FB8" w14:textId="77777777" w:rsidR="00C4460F" w:rsidRDefault="00C4460F">
      <w:pPr>
        <w:pStyle w:val="Heading3"/>
        <w:tabs>
          <w:tab w:val="right" w:pos="720"/>
        </w:tabs>
        <w:spacing w:line="276" w:lineRule="auto"/>
        <w:ind w:left="0"/>
        <w:rPr>
          <w:rFonts w:ascii="Arial" w:eastAsia="Arial" w:hAnsi="Arial" w:cs="Arial"/>
          <w:b w:val="0"/>
          <w:bCs w:val="0"/>
          <w:sz w:val="22"/>
          <w:szCs w:val="22"/>
        </w:rPr>
      </w:pPr>
      <w:bookmarkStart w:id="11" w:name="_heading=h.xdu8alchpxo" w:colFirst="0" w:colLast="0"/>
      <w:bookmarkEnd w:id="11"/>
    </w:p>
    <w:p w14:paraId="1A900723"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Students are allowed to carry No Grades (NG) and No Records (NR) for only one quarter after the course was taken before the NG or NR automatically reverts to a failing grade. This aligns the grade notations of NG and NR with the policy governing Incomplete grades, except that students will not be able to petition for extension of NG and NR as they can with an Incomplete.</w:t>
      </w:r>
    </w:p>
    <w:p w14:paraId="226E95C5"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774680F"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As a result of these policies, grades of NG or NR from coursework in any previous quarter will automatically revert to failing grades unless a letter grade, S/U or P/NP is reported to the Registrar by the instructor of record. While an NG or NR grade does not require a Registrar’s petition (as does the I grade), it automatically expires at the end of the next quarter with no possibility of extension. Incomplete grades can be extended.</w:t>
      </w:r>
    </w:p>
    <w:p w14:paraId="17C8B17D"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94DB811"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If students have 12 or more units of unfinished coursework, they will initially receive an advisory letter, then the student may be placed on academic warning status by the Graduate Program Advisor and/or the Director of Graduate Studies. Students </w:t>
      </w:r>
      <w:proofErr w:type="gramStart"/>
      <w:r>
        <w:rPr>
          <w:rFonts w:ascii="Arial" w:eastAsia="Arial" w:hAnsi="Arial" w:cs="Arial"/>
          <w:color w:val="231F20"/>
          <w:sz w:val="20"/>
          <w:szCs w:val="20"/>
        </w:rPr>
        <w:t>continuing on</w:t>
      </w:r>
      <w:proofErr w:type="gramEnd"/>
      <w:r>
        <w:rPr>
          <w:rFonts w:ascii="Arial" w:eastAsia="Arial" w:hAnsi="Arial" w:cs="Arial"/>
          <w:color w:val="231F20"/>
          <w:sz w:val="20"/>
          <w:szCs w:val="20"/>
        </w:rPr>
        <w:t xml:space="preserve"> for a doctorate must remove all unfinished coursework before a master’s degree can be awarded. Keep in mind that excessive units of unfinished coursework may block appointment to an academic apprenticeship (TA, GSR).</w:t>
      </w:r>
    </w:p>
    <w:p w14:paraId="059B2BBC"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CE990AF"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2"/>
          <w:szCs w:val="22"/>
          <w:u w:val="single"/>
        </w:rPr>
      </w:pPr>
      <w:r>
        <w:rPr>
          <w:rFonts w:ascii="Arial" w:eastAsia="Arial" w:hAnsi="Arial" w:cs="Arial"/>
          <w:color w:val="231F20"/>
          <w:sz w:val="22"/>
          <w:szCs w:val="22"/>
          <w:u w:val="single"/>
        </w:rPr>
        <w:t>Good Academic Standing</w:t>
      </w:r>
    </w:p>
    <w:p w14:paraId="176044B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lastRenderedPageBreak/>
        <w:t xml:space="preserve">According to Graduate Division, the levels of academic status for graduate students are defined as follows: </w:t>
      </w:r>
    </w:p>
    <w:p w14:paraId="63382034"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B3845ED" w14:textId="77777777" w:rsidR="00C4460F" w:rsidRDefault="00000000">
      <w:pPr>
        <w:pStyle w:val="Heading3"/>
        <w:numPr>
          <w:ilvl w:val="0"/>
          <w:numId w:val="6"/>
        </w:numPr>
        <w:tabs>
          <w:tab w:val="right" w:pos="720"/>
        </w:tabs>
        <w:spacing w:line="276" w:lineRule="auto"/>
        <w:rPr>
          <w:b w:val="0"/>
          <w:bCs w:val="0"/>
        </w:rPr>
      </w:pPr>
      <w:r>
        <w:rPr>
          <w:rFonts w:ascii="Arial" w:eastAsia="Arial" w:hAnsi="Arial" w:cs="Arial"/>
          <w:b w:val="0"/>
          <w:bCs w:val="0"/>
          <w:color w:val="231F20"/>
        </w:rPr>
        <w:t>P1 status: Academic or professional doctorate degree objective, but not advanced to candidacy</w:t>
      </w:r>
    </w:p>
    <w:p w14:paraId="38DF8989" w14:textId="77777777" w:rsidR="00C4460F" w:rsidRDefault="00000000">
      <w:pPr>
        <w:pStyle w:val="Heading3"/>
        <w:numPr>
          <w:ilvl w:val="0"/>
          <w:numId w:val="6"/>
        </w:numPr>
        <w:tabs>
          <w:tab w:val="right" w:pos="720"/>
        </w:tabs>
        <w:spacing w:line="276" w:lineRule="auto"/>
        <w:rPr>
          <w:b w:val="0"/>
          <w:bCs w:val="0"/>
        </w:rPr>
      </w:pPr>
      <w:r>
        <w:rPr>
          <w:rFonts w:ascii="Arial" w:eastAsia="Arial" w:hAnsi="Arial" w:cs="Arial"/>
          <w:b w:val="0"/>
          <w:bCs w:val="0"/>
          <w:color w:val="231F20"/>
        </w:rPr>
        <w:t>P2 status: Academic or professional doctorate degree objective, has advanced to candidacy (P2 status lasts for 9 registered quarters)</w:t>
      </w:r>
    </w:p>
    <w:p w14:paraId="72AC30F2" w14:textId="77777777" w:rsidR="00C4460F" w:rsidRDefault="00000000">
      <w:pPr>
        <w:pStyle w:val="Heading3"/>
        <w:numPr>
          <w:ilvl w:val="0"/>
          <w:numId w:val="6"/>
        </w:numPr>
        <w:tabs>
          <w:tab w:val="right" w:pos="720"/>
        </w:tabs>
        <w:spacing w:after="280" w:line="276" w:lineRule="auto"/>
        <w:rPr>
          <w:b w:val="0"/>
          <w:bCs w:val="0"/>
        </w:rPr>
      </w:pPr>
      <w:bookmarkStart w:id="12" w:name="_heading=h.3ziyzx8b4zdq" w:colFirst="0" w:colLast="0"/>
      <w:bookmarkEnd w:id="12"/>
      <w:r>
        <w:rPr>
          <w:rFonts w:ascii="Arial" w:eastAsia="Arial" w:hAnsi="Arial" w:cs="Arial"/>
          <w:b w:val="0"/>
          <w:bCs w:val="0"/>
          <w:color w:val="231F20"/>
        </w:rPr>
        <w:t>P3 status: After 9 registered quarters as P2 status, students become P3 status. International students in P3 status will be charged non-resident supplemental tuition.</w:t>
      </w:r>
    </w:p>
    <w:p w14:paraId="52DEAE7F" w14:textId="77777777" w:rsidR="00C4460F" w:rsidRDefault="00000000">
      <w:pPr>
        <w:tabs>
          <w:tab w:val="right" w:pos="720"/>
        </w:tabs>
        <w:rPr>
          <w:rFonts w:ascii="Arial" w:eastAsia="Arial" w:hAnsi="Arial" w:cs="Arial"/>
          <w:sz w:val="22"/>
          <w:szCs w:val="22"/>
        </w:rPr>
      </w:pPr>
      <w:r>
        <w:rPr>
          <w:rFonts w:ascii="Arial" w:eastAsia="Arial" w:hAnsi="Arial" w:cs="Arial"/>
          <w:sz w:val="22"/>
          <w:szCs w:val="22"/>
        </w:rPr>
        <w:t xml:space="preserve">For more information, please visit the </w:t>
      </w:r>
      <w:hyperlink r:id="rId18">
        <w:r>
          <w:rPr>
            <w:rFonts w:ascii="Arial" w:eastAsia="Arial" w:hAnsi="Arial" w:cs="Arial"/>
            <w:color w:val="1155CC"/>
            <w:sz w:val="22"/>
            <w:szCs w:val="22"/>
            <w:u w:val="single"/>
          </w:rPr>
          <w:t>Academic Performance</w:t>
        </w:r>
      </w:hyperlink>
      <w:r>
        <w:rPr>
          <w:rFonts w:ascii="Arial" w:eastAsia="Arial" w:hAnsi="Arial" w:cs="Arial"/>
          <w:sz w:val="22"/>
          <w:szCs w:val="22"/>
        </w:rPr>
        <w:t xml:space="preserve"> section of the Graduate Division website.</w:t>
      </w:r>
    </w:p>
    <w:p w14:paraId="43D91E45" w14:textId="77777777" w:rsidR="00C4460F" w:rsidRDefault="00C4460F">
      <w:pPr>
        <w:pStyle w:val="Heading3"/>
        <w:tabs>
          <w:tab w:val="right" w:pos="720"/>
        </w:tabs>
        <w:spacing w:line="276" w:lineRule="auto"/>
        <w:ind w:left="0"/>
        <w:rPr>
          <w:rFonts w:ascii="Arial" w:eastAsia="Arial" w:hAnsi="Arial" w:cs="Arial"/>
          <w:b w:val="0"/>
          <w:bCs w:val="0"/>
          <w:color w:val="231F20"/>
          <w:sz w:val="22"/>
          <w:szCs w:val="22"/>
          <w:u w:val="single"/>
        </w:rPr>
      </w:pPr>
      <w:bookmarkStart w:id="13" w:name="_heading=h.fcbg0n9wpf9p" w:colFirst="0" w:colLast="0"/>
      <w:bookmarkEnd w:id="13"/>
    </w:p>
    <w:p w14:paraId="7B6B18A0" w14:textId="77777777" w:rsidR="00C4460F" w:rsidRDefault="00000000">
      <w:pPr>
        <w:pStyle w:val="Heading3"/>
        <w:tabs>
          <w:tab w:val="right" w:pos="720"/>
        </w:tabs>
        <w:spacing w:line="276" w:lineRule="auto"/>
        <w:ind w:left="0"/>
        <w:rPr>
          <w:rFonts w:ascii="Arial" w:eastAsia="Arial" w:hAnsi="Arial" w:cs="Arial"/>
          <w:b w:val="0"/>
          <w:bCs w:val="0"/>
          <w:sz w:val="22"/>
          <w:szCs w:val="22"/>
        </w:rPr>
      </w:pPr>
      <w:bookmarkStart w:id="14" w:name="_heading=h.yphhwdovweq9" w:colFirst="0" w:colLast="0"/>
      <w:bookmarkEnd w:id="14"/>
      <w:r>
        <w:rPr>
          <w:rFonts w:ascii="Arial" w:eastAsia="Arial" w:hAnsi="Arial" w:cs="Arial"/>
          <w:b w:val="0"/>
          <w:bCs w:val="0"/>
          <w:color w:val="231F20"/>
          <w:sz w:val="22"/>
          <w:szCs w:val="22"/>
          <w:u w:val="single"/>
        </w:rPr>
        <w:t>Standards of Scholarship</w:t>
      </w:r>
    </w:p>
    <w:p w14:paraId="569CB0FA"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To remain in good academic standing, a student must make timely progress toward degree completion and satisfactorily meet the following standards of scholarship established by University and Campus Academic Senate regulations or Graduate Council rulings:</w:t>
      </w:r>
    </w:p>
    <w:p w14:paraId="543E5497" w14:textId="77777777" w:rsidR="00C4460F" w:rsidRDefault="00000000">
      <w:pPr>
        <w:widowControl w:val="0"/>
        <w:numPr>
          <w:ilvl w:val="1"/>
          <w:numId w:val="18"/>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231F20"/>
          <w:sz w:val="18"/>
          <w:szCs w:val="18"/>
        </w:rPr>
        <w:t>Maintain a cumulative GPA of at least 3.0</w:t>
      </w:r>
    </w:p>
    <w:p w14:paraId="764002AA" w14:textId="77777777" w:rsidR="00C4460F" w:rsidRDefault="00000000">
      <w:pPr>
        <w:widowControl w:val="0"/>
        <w:numPr>
          <w:ilvl w:val="1"/>
          <w:numId w:val="18"/>
        </w:numPr>
        <w:pBdr>
          <w:top w:val="nil"/>
          <w:left w:val="nil"/>
          <w:bottom w:val="nil"/>
          <w:right w:val="nil"/>
          <w:between w:val="nil"/>
        </w:pBdr>
        <w:spacing w:line="276" w:lineRule="auto"/>
        <w:ind w:right="505"/>
        <w:rPr>
          <w:rFonts w:ascii="Arial" w:eastAsia="Arial" w:hAnsi="Arial" w:cs="Arial"/>
          <w:color w:val="000000"/>
          <w:sz w:val="18"/>
          <w:szCs w:val="18"/>
        </w:rPr>
      </w:pPr>
      <w:r>
        <w:rPr>
          <w:rFonts w:ascii="Arial" w:eastAsia="Arial" w:hAnsi="Arial" w:cs="Arial"/>
          <w:color w:val="231F20"/>
          <w:sz w:val="18"/>
          <w:szCs w:val="18"/>
        </w:rPr>
        <w:t>Maintain a student transcript free of excessive units of unfinished coursework, defined as 12 or more units of Incomplete, No Grade, and/or No Record.</w:t>
      </w:r>
    </w:p>
    <w:p w14:paraId="10B31D7C" w14:textId="77777777" w:rsidR="00C4460F" w:rsidRDefault="00000000">
      <w:pPr>
        <w:widowControl w:val="0"/>
        <w:numPr>
          <w:ilvl w:val="1"/>
          <w:numId w:val="18"/>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231F20"/>
          <w:sz w:val="18"/>
          <w:szCs w:val="18"/>
        </w:rPr>
        <w:t>Advance to doctoral candidacy within four years of admission.</w:t>
      </w:r>
    </w:p>
    <w:p w14:paraId="427EDCE9" w14:textId="77777777" w:rsidR="00C4460F" w:rsidRDefault="00000000">
      <w:pPr>
        <w:widowControl w:val="0"/>
        <w:numPr>
          <w:ilvl w:val="1"/>
          <w:numId w:val="18"/>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231F20"/>
          <w:sz w:val="18"/>
          <w:szCs w:val="18"/>
        </w:rPr>
        <w:t>Complete the master’s degree within the four-year time limit.</w:t>
      </w:r>
    </w:p>
    <w:p w14:paraId="17EDBFB2" w14:textId="77777777" w:rsidR="00C4460F" w:rsidRDefault="00000000">
      <w:pPr>
        <w:widowControl w:val="0"/>
        <w:numPr>
          <w:ilvl w:val="1"/>
          <w:numId w:val="18"/>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231F20"/>
          <w:sz w:val="18"/>
          <w:szCs w:val="18"/>
        </w:rPr>
        <w:t>Complete the doctoral degree within the six-year time limit.</w:t>
      </w:r>
    </w:p>
    <w:p w14:paraId="16DFDC78" w14:textId="77777777" w:rsidR="00C4460F" w:rsidRDefault="00000000">
      <w:pPr>
        <w:widowControl w:val="0"/>
        <w:numPr>
          <w:ilvl w:val="1"/>
          <w:numId w:val="18"/>
        </w:numPr>
        <w:pBdr>
          <w:top w:val="nil"/>
          <w:left w:val="nil"/>
          <w:bottom w:val="nil"/>
          <w:right w:val="nil"/>
          <w:between w:val="nil"/>
        </w:pBdr>
        <w:spacing w:line="276" w:lineRule="auto"/>
        <w:ind w:right="341"/>
        <w:rPr>
          <w:rFonts w:ascii="Arial" w:eastAsia="Arial" w:hAnsi="Arial" w:cs="Arial"/>
          <w:color w:val="000000"/>
          <w:sz w:val="18"/>
          <w:szCs w:val="18"/>
        </w:rPr>
      </w:pPr>
      <w:r>
        <w:rPr>
          <w:rFonts w:ascii="Arial" w:eastAsia="Arial" w:hAnsi="Arial" w:cs="Arial"/>
          <w:color w:val="231F20"/>
          <w:sz w:val="18"/>
          <w:szCs w:val="18"/>
        </w:rPr>
        <w:t>Meet all departmental degree requirements in accordance with departmental time limits, including satisfactory performance in core courses and on required examinations; pass departmental examinations within the number of attempts permitted by the student’s department and Graduate Council.</w:t>
      </w:r>
    </w:p>
    <w:p w14:paraId="2519A20A" w14:textId="77777777" w:rsidR="00C4460F" w:rsidRDefault="00000000">
      <w:pPr>
        <w:widowControl w:val="0"/>
        <w:numPr>
          <w:ilvl w:val="1"/>
          <w:numId w:val="18"/>
        </w:numPr>
        <w:pBdr>
          <w:top w:val="nil"/>
          <w:left w:val="nil"/>
          <w:bottom w:val="nil"/>
          <w:right w:val="nil"/>
          <w:between w:val="nil"/>
        </w:pBdr>
        <w:tabs>
          <w:tab w:val="right" w:pos="720"/>
          <w:tab w:val="left" w:pos="1128"/>
        </w:tabs>
        <w:spacing w:line="276" w:lineRule="auto"/>
        <w:ind w:right="321"/>
        <w:rPr>
          <w:rFonts w:ascii="Arial" w:eastAsia="Arial" w:hAnsi="Arial" w:cs="Arial"/>
          <w:color w:val="000000"/>
          <w:sz w:val="18"/>
          <w:szCs w:val="18"/>
        </w:rPr>
      </w:pPr>
      <w:r>
        <w:rPr>
          <w:rFonts w:ascii="Arial" w:eastAsia="Arial" w:hAnsi="Arial" w:cs="Arial"/>
          <w:color w:val="231F20"/>
          <w:sz w:val="18"/>
          <w:szCs w:val="18"/>
        </w:rPr>
        <w:t>Form a master’s or doctoral committee; present a thesis plan or dissertation research proposal acceptable to the committee; complete a thesis or dissertation acceptable to all committee members; and successfully pass a final defense of the thesis or dissertation when required.</w:t>
      </w:r>
    </w:p>
    <w:p w14:paraId="636A272F"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A6E0FD6"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All disciplinary actions are taken after consultation with the department Chair and Graduate Advisor, except where otherwise noted.</w:t>
      </w:r>
    </w:p>
    <w:p w14:paraId="6B6275CF"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B4E63C9" w14:textId="77777777" w:rsidR="00C4460F" w:rsidRDefault="00000000">
      <w:pPr>
        <w:pStyle w:val="Heading3"/>
        <w:tabs>
          <w:tab w:val="right" w:pos="720"/>
        </w:tabs>
        <w:spacing w:line="276" w:lineRule="auto"/>
        <w:ind w:left="0"/>
        <w:rPr>
          <w:rFonts w:ascii="Arial" w:eastAsia="Arial" w:hAnsi="Arial" w:cs="Arial"/>
          <w:b w:val="0"/>
          <w:bCs w:val="0"/>
          <w:sz w:val="22"/>
          <w:szCs w:val="22"/>
        </w:rPr>
      </w:pPr>
      <w:bookmarkStart w:id="15" w:name="_heading=h.gepdi9i52o8y" w:colFirst="0" w:colLast="0"/>
      <w:bookmarkEnd w:id="15"/>
      <w:r>
        <w:rPr>
          <w:rFonts w:ascii="Arial" w:eastAsia="Arial" w:hAnsi="Arial" w:cs="Arial"/>
          <w:b w:val="0"/>
          <w:bCs w:val="0"/>
          <w:color w:val="231F20"/>
          <w:sz w:val="22"/>
          <w:szCs w:val="22"/>
          <w:u w:val="single"/>
        </w:rPr>
        <w:t>Leaves of Absence</w:t>
      </w:r>
      <w:r>
        <w:rPr>
          <w:rFonts w:ascii="Arial" w:eastAsia="Arial" w:hAnsi="Arial" w:cs="Arial"/>
          <w:b w:val="0"/>
          <w:bCs w:val="0"/>
          <w:color w:val="231F20"/>
          <w:sz w:val="22"/>
          <w:szCs w:val="22"/>
        </w:rPr>
        <w:t>:</w:t>
      </w:r>
    </w:p>
    <w:p w14:paraId="4956EAEA"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UCSB requires continued registration of all graduate students until completion of all requirements for the degree. In extraordinary circumstances, however, students who have registered for and completed at least one quarter, and are in good academic standing, may petition for and be approved for a leave of absence. An approved leave of absence is designed for students who encounter extraordinary circumstances that require a break in their progress toward their degree objectives. The mechanism guarantees persons a place in their degree program upon return from their approved leave and provides a very minimal use of university resources during the approved leave time as listed below. Persons expecting to use additional university resources or faculty time will be required to register.</w:t>
      </w:r>
    </w:p>
    <w:p w14:paraId="267EE522"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D28FFD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 circumstances for which students may apply for a Leave of Absence include the following: (1) documented medical/health difficulties which would reasonably inhibit graduate studies; (2) pregnancy/parenting needs (more outlined by the </w:t>
      </w:r>
      <w:hyperlink r:id="rId19">
        <w:r>
          <w:rPr>
            <w:rFonts w:ascii="Arial" w:eastAsia="Arial" w:hAnsi="Arial" w:cs="Arial"/>
            <w:color w:val="1155CC"/>
            <w:sz w:val="20"/>
            <w:szCs w:val="20"/>
            <w:u w:val="single"/>
          </w:rPr>
          <w:t>Graduate Division</w:t>
        </w:r>
      </w:hyperlink>
      <w:r>
        <w:rPr>
          <w:rFonts w:ascii="Arial" w:eastAsia="Arial" w:hAnsi="Arial" w:cs="Arial"/>
          <w:color w:val="231F20"/>
          <w:sz w:val="20"/>
          <w:szCs w:val="20"/>
        </w:rPr>
        <w:t>) (3) family emergencies of an unusual and unanticipated nature; (4) military service required by the student’s country; (5) Filing Fee Quarter of Leave during student’s last quarter at UCSB to file thesis or dissertation (terminal students only). Petitions for leaves must be accompanied by appropriate supporting documentation.</w:t>
      </w:r>
    </w:p>
    <w:p w14:paraId="58EB1D83"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ED81EF4"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 following examples are not circumstances for which an approved leave of absence will be granted; </w:t>
      </w:r>
      <w:r>
        <w:rPr>
          <w:rFonts w:ascii="Arial" w:eastAsia="Arial" w:hAnsi="Arial" w:cs="Arial"/>
          <w:color w:val="231F20"/>
          <w:sz w:val="20"/>
          <w:szCs w:val="20"/>
        </w:rPr>
        <w:lastRenderedPageBreak/>
        <w:t>(1) financial hardship and the desire to not pay fees; (2) desire to take “time off” from the pressure of studies; (3) the necessity to focus primary energies on library, laboratory, or field work related to examinations or thesis/dissertation requirements, including study abroad or outside the University community; or (4) exigencies resulting from outside employment; or (5) desire to protect visa status.</w:t>
      </w:r>
    </w:p>
    <w:p w14:paraId="542853DA"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A25AA8A"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Request a leave of absence petition from the Graduate Division front desk or download a copy at: </w:t>
      </w:r>
    </w:p>
    <w:p w14:paraId="020C2988"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20">
        <w:r>
          <w:rPr>
            <w:rFonts w:ascii="Arial" w:eastAsia="Arial" w:hAnsi="Arial" w:cs="Arial"/>
            <w:color w:val="0000FF"/>
            <w:sz w:val="20"/>
            <w:szCs w:val="20"/>
            <w:u w:val="single"/>
          </w:rPr>
          <w:t>https://www.graddiv.ucsb.edu/forms/leave-absence</w:t>
        </w:r>
      </w:hyperlink>
      <w:r>
        <w:rPr>
          <w:rFonts w:ascii="Arial" w:eastAsia="Arial" w:hAnsi="Arial" w:cs="Arial"/>
          <w:color w:val="231F20"/>
          <w:sz w:val="20"/>
          <w:szCs w:val="20"/>
        </w:rPr>
        <w:t xml:space="preserve"> </w:t>
      </w:r>
    </w:p>
    <w:p w14:paraId="27A1FF21"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CC55BBA"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If you go to the Graduate Division, you may wish to meet with an Advising Assistant to discuss your </w:t>
      </w:r>
      <w:proofErr w:type="gramStart"/>
      <w:r>
        <w:rPr>
          <w:rFonts w:ascii="Arial" w:eastAsia="Arial" w:hAnsi="Arial" w:cs="Arial"/>
          <w:color w:val="231F20"/>
          <w:sz w:val="20"/>
          <w:szCs w:val="20"/>
        </w:rPr>
        <w:t>particular situation</w:t>
      </w:r>
      <w:proofErr w:type="gramEnd"/>
      <w:r>
        <w:rPr>
          <w:rFonts w:ascii="Arial" w:eastAsia="Arial" w:hAnsi="Arial" w:cs="Arial"/>
          <w:color w:val="231F20"/>
          <w:sz w:val="20"/>
          <w:szCs w:val="20"/>
        </w:rPr>
        <w:t>.</w:t>
      </w:r>
    </w:p>
    <w:p w14:paraId="0A5CA4AC"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F261382" w14:textId="77777777" w:rsidR="00C4460F" w:rsidRDefault="00000000">
      <w:pPr>
        <w:pStyle w:val="Heading3"/>
        <w:tabs>
          <w:tab w:val="right" w:pos="720"/>
        </w:tabs>
        <w:spacing w:line="276" w:lineRule="auto"/>
        <w:ind w:left="0"/>
        <w:jc w:val="both"/>
        <w:rPr>
          <w:rFonts w:ascii="Arial" w:eastAsia="Arial" w:hAnsi="Arial" w:cs="Arial"/>
          <w:b w:val="0"/>
          <w:bCs w:val="0"/>
          <w:sz w:val="22"/>
          <w:szCs w:val="22"/>
        </w:rPr>
      </w:pPr>
      <w:bookmarkStart w:id="16" w:name="_heading=h.g52206486vjk" w:colFirst="0" w:colLast="0"/>
      <w:bookmarkEnd w:id="16"/>
      <w:r>
        <w:rPr>
          <w:rFonts w:ascii="Arial" w:eastAsia="Arial" w:hAnsi="Arial" w:cs="Arial"/>
          <w:b w:val="0"/>
          <w:bCs w:val="0"/>
          <w:color w:val="231F20"/>
          <w:sz w:val="22"/>
          <w:szCs w:val="22"/>
          <w:u w:val="single"/>
        </w:rPr>
        <w:t>In Absentia Registration</w:t>
      </w:r>
      <w:r>
        <w:rPr>
          <w:rFonts w:ascii="Arial" w:eastAsia="Arial" w:hAnsi="Arial" w:cs="Arial"/>
          <w:b w:val="0"/>
          <w:bCs w:val="0"/>
          <w:color w:val="231F20"/>
          <w:sz w:val="22"/>
          <w:szCs w:val="22"/>
        </w:rPr>
        <w:t>:</w:t>
      </w:r>
    </w:p>
    <w:p w14:paraId="12C71E79"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color w:val="231F20"/>
          <w:sz w:val="20"/>
          <w:szCs w:val="20"/>
        </w:rPr>
        <w:t xml:space="preserve">Graduate students whose research or study requires them to remain outside California throughout the quarter, but who need to be registered, may be able to take advantage of “in absentia” registration, which reduces the registration fee by one-half. Other fees, notably non-resident tuition and the education fee, remain unchanged. This option may be of use to graduate students who must register to receive fellowships, for example, or for students fulfilling required internships out-of-state. </w:t>
      </w:r>
      <w:r>
        <w:rPr>
          <w:rFonts w:ascii="Arial" w:eastAsia="Arial" w:hAnsi="Arial" w:cs="Arial"/>
          <w:sz w:val="20"/>
          <w:szCs w:val="20"/>
        </w:rPr>
        <w:t>In Absentia Petition and further In Absentia prerequisites can be found on the Graduate Division website here:</w:t>
      </w:r>
    </w:p>
    <w:p w14:paraId="7BE8BCEE"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21">
        <w:r>
          <w:rPr>
            <w:rFonts w:ascii="Arial" w:eastAsia="Arial" w:hAnsi="Arial" w:cs="Arial"/>
            <w:color w:val="0000FF"/>
            <w:sz w:val="20"/>
            <w:szCs w:val="20"/>
            <w:u w:val="single"/>
          </w:rPr>
          <w:t>http://www.graddiv.ucsb.edu/academic/forms-petitions</w:t>
        </w:r>
      </w:hyperlink>
      <w:r>
        <w:rPr>
          <w:rFonts w:ascii="Arial" w:eastAsia="Arial" w:hAnsi="Arial" w:cs="Arial"/>
          <w:color w:val="231F20"/>
          <w:sz w:val="20"/>
          <w:szCs w:val="20"/>
        </w:rPr>
        <w:t xml:space="preserve"> </w:t>
      </w:r>
    </w:p>
    <w:p w14:paraId="2AA4E069"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241EFD8"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Graduate Advisor must verify on the petition that the student will be conducting research or engaging in study which will require the student to be outside California for one to three quarters.</w:t>
      </w:r>
    </w:p>
    <w:p w14:paraId="069AE0D4"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EAFD0B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sz w:val="20"/>
          <w:szCs w:val="20"/>
        </w:rPr>
        <w:t xml:space="preserve">Students may still go on a Filing Leave of Absence after a quarter of In Absentia. </w:t>
      </w:r>
    </w:p>
    <w:p w14:paraId="39E638E5"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021892D" w14:textId="77777777" w:rsidR="00C4460F" w:rsidRDefault="00000000">
      <w:pPr>
        <w:pStyle w:val="Heading3"/>
        <w:tabs>
          <w:tab w:val="right" w:pos="720"/>
        </w:tabs>
        <w:spacing w:line="276" w:lineRule="auto"/>
        <w:ind w:left="0"/>
        <w:jc w:val="both"/>
        <w:rPr>
          <w:rFonts w:ascii="Arial" w:eastAsia="Arial" w:hAnsi="Arial" w:cs="Arial"/>
          <w:b w:val="0"/>
          <w:bCs w:val="0"/>
          <w:sz w:val="22"/>
          <w:szCs w:val="22"/>
        </w:rPr>
      </w:pPr>
      <w:bookmarkStart w:id="17" w:name="_heading=h.cax6wvqyyjnl" w:colFirst="0" w:colLast="0"/>
      <w:bookmarkEnd w:id="17"/>
      <w:r>
        <w:rPr>
          <w:rFonts w:ascii="Arial" w:eastAsia="Arial" w:hAnsi="Arial" w:cs="Arial"/>
          <w:b w:val="0"/>
          <w:bCs w:val="0"/>
          <w:color w:val="231F20"/>
          <w:sz w:val="22"/>
          <w:szCs w:val="22"/>
          <w:u w:val="single"/>
        </w:rPr>
        <w:t>Degree Dates and Filing Deadlines</w:t>
      </w:r>
      <w:r>
        <w:rPr>
          <w:rFonts w:ascii="Arial" w:eastAsia="Arial" w:hAnsi="Arial" w:cs="Arial"/>
          <w:b w:val="0"/>
          <w:bCs w:val="0"/>
          <w:color w:val="231F20"/>
          <w:sz w:val="22"/>
          <w:szCs w:val="22"/>
        </w:rPr>
        <w:t>:</w:t>
      </w:r>
    </w:p>
    <w:p w14:paraId="319850F9"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Degrees are granted four times a year; the degree conferral date is the last day of each quarter.</w:t>
      </w:r>
    </w:p>
    <w:p w14:paraId="3B674131"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 student must have finished all requirements by the final Friday of the quarter to get a degree dated that quarter, even though the conferral date may be the next day, i.e., a Saturday when the Graduate Division is closed. Theses and dissertations filed between quarters (in late August or during the break between Fall and Winter quarters, for example) will not cost students additional fees if they were enrolled the previous quarter but the degree will be dated the end of the next quarter.</w:t>
      </w:r>
    </w:p>
    <w:p w14:paraId="033CBB63"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BED7C7C" w14:textId="77777777" w:rsidR="00C4460F" w:rsidRDefault="00000000">
      <w:pPr>
        <w:pStyle w:val="Heading3"/>
        <w:tabs>
          <w:tab w:val="right" w:pos="720"/>
        </w:tabs>
        <w:spacing w:line="276" w:lineRule="auto"/>
        <w:ind w:left="0"/>
        <w:jc w:val="both"/>
        <w:rPr>
          <w:rFonts w:ascii="Arial" w:eastAsia="Arial" w:hAnsi="Arial" w:cs="Arial"/>
          <w:b w:val="0"/>
          <w:bCs w:val="0"/>
          <w:sz w:val="22"/>
          <w:szCs w:val="22"/>
        </w:rPr>
      </w:pPr>
      <w:bookmarkStart w:id="18" w:name="_heading=h.x6jxjalu30eg" w:colFirst="0" w:colLast="0"/>
      <w:bookmarkEnd w:id="18"/>
      <w:r>
        <w:rPr>
          <w:rFonts w:ascii="Arial" w:eastAsia="Arial" w:hAnsi="Arial" w:cs="Arial"/>
          <w:b w:val="0"/>
          <w:bCs w:val="0"/>
          <w:color w:val="231F20"/>
          <w:sz w:val="22"/>
          <w:szCs w:val="22"/>
          <w:u w:val="single"/>
        </w:rPr>
        <w:t>Annual Review of Graduate Student Progress</w:t>
      </w:r>
      <w:r>
        <w:rPr>
          <w:rFonts w:ascii="Arial" w:eastAsia="Arial" w:hAnsi="Arial" w:cs="Arial"/>
          <w:b w:val="0"/>
          <w:bCs w:val="0"/>
          <w:color w:val="231F20"/>
          <w:sz w:val="22"/>
          <w:szCs w:val="22"/>
        </w:rPr>
        <w:t>:</w:t>
      </w:r>
    </w:p>
    <w:p w14:paraId="70CD91BD"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 UCSB Graduate Council and the Graduate Division suggest that every department conduct a faculty review of all graduate students’ progress each year </w:t>
      </w:r>
      <w:proofErr w:type="gramStart"/>
      <w:r>
        <w:rPr>
          <w:rFonts w:ascii="Arial" w:eastAsia="Arial" w:hAnsi="Arial" w:cs="Arial"/>
          <w:color w:val="231F20"/>
          <w:sz w:val="20"/>
          <w:szCs w:val="20"/>
        </w:rPr>
        <w:t>in order to</w:t>
      </w:r>
      <w:proofErr w:type="gramEnd"/>
      <w:r>
        <w:rPr>
          <w:rFonts w:ascii="Arial" w:eastAsia="Arial" w:hAnsi="Arial" w:cs="Arial"/>
          <w:color w:val="231F20"/>
          <w:sz w:val="20"/>
          <w:szCs w:val="20"/>
        </w:rPr>
        <w:t xml:space="preserve"> spot problems, evaluate chances of successful completion, and encourage good work. The Film and Media Studies Department normally conducts this review in the spring quarter, with additional reviews for MA students in the fall of the second year. Students on probation or making poor progress are entitled to receive clear explanations of problems, along with specific requirements to remedy deficiencies in a designated amount of time. In this way problems can be addressed early before they become serious.</w:t>
      </w:r>
    </w:p>
    <w:p w14:paraId="195CF7B3"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E97410E" w14:textId="77777777" w:rsidR="00C4460F" w:rsidRDefault="00000000">
      <w:pPr>
        <w:pStyle w:val="Heading3"/>
        <w:tabs>
          <w:tab w:val="right" w:pos="720"/>
        </w:tabs>
        <w:spacing w:line="276" w:lineRule="auto"/>
        <w:ind w:left="0"/>
        <w:jc w:val="both"/>
        <w:rPr>
          <w:rFonts w:ascii="Arial" w:eastAsia="Arial" w:hAnsi="Arial" w:cs="Arial"/>
          <w:b w:val="0"/>
          <w:bCs w:val="0"/>
          <w:sz w:val="22"/>
          <w:szCs w:val="22"/>
          <w:u w:val="single"/>
        </w:rPr>
      </w:pPr>
      <w:bookmarkStart w:id="19" w:name="_heading=h.ntiv8gtjze74" w:colFirst="0" w:colLast="0"/>
      <w:bookmarkEnd w:id="19"/>
      <w:r>
        <w:rPr>
          <w:rFonts w:ascii="Arial" w:eastAsia="Arial" w:hAnsi="Arial" w:cs="Arial"/>
          <w:b w:val="0"/>
          <w:bCs w:val="0"/>
          <w:color w:val="231F20"/>
          <w:sz w:val="22"/>
          <w:szCs w:val="22"/>
          <w:u w:val="single"/>
        </w:rPr>
        <w:t>Appeals Procedures for Graduate Student Disputes with Graduate Committees:</w:t>
      </w:r>
    </w:p>
    <w:p w14:paraId="2BA78450"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From time-to-time disagreements about decisions, deadlines, policies, procedures, and issues of academic judgment may arise between a student and members of a thesis or dissertation committee. As in all such disputes, involved parties should, in the spirit of collegiality, attempt to resolve these issues internally. The following steps are recommended:</w:t>
      </w:r>
    </w:p>
    <w:p w14:paraId="548BBCD0" w14:textId="77777777" w:rsidR="00C4460F" w:rsidRDefault="00000000">
      <w:pPr>
        <w:widowControl w:val="0"/>
        <w:numPr>
          <w:ilvl w:val="0"/>
          <w:numId w:val="13"/>
        </w:numPr>
        <w:pBdr>
          <w:top w:val="nil"/>
          <w:left w:val="nil"/>
          <w:bottom w:val="nil"/>
          <w:right w:val="nil"/>
          <w:between w:val="nil"/>
        </w:pBdr>
        <w:spacing w:line="276" w:lineRule="auto"/>
        <w:jc w:val="both"/>
        <w:rPr>
          <w:rFonts w:ascii="Arial" w:eastAsia="Arial" w:hAnsi="Arial" w:cs="Arial"/>
          <w:color w:val="000000"/>
          <w:sz w:val="18"/>
          <w:szCs w:val="18"/>
        </w:rPr>
      </w:pPr>
      <w:r>
        <w:rPr>
          <w:rFonts w:ascii="Arial" w:eastAsia="Arial" w:hAnsi="Arial" w:cs="Arial"/>
          <w:color w:val="231F20"/>
          <w:sz w:val="18"/>
          <w:szCs w:val="18"/>
        </w:rPr>
        <w:t xml:space="preserve">A student should first meet with the chair of the committee </w:t>
      </w:r>
      <w:proofErr w:type="gramStart"/>
      <w:r>
        <w:rPr>
          <w:rFonts w:ascii="Arial" w:eastAsia="Arial" w:hAnsi="Arial" w:cs="Arial"/>
          <w:color w:val="231F20"/>
          <w:sz w:val="18"/>
          <w:szCs w:val="18"/>
        </w:rPr>
        <w:t>in an effort to</w:t>
      </w:r>
      <w:proofErr w:type="gramEnd"/>
      <w:r>
        <w:rPr>
          <w:rFonts w:ascii="Arial" w:eastAsia="Arial" w:hAnsi="Arial" w:cs="Arial"/>
          <w:color w:val="231F20"/>
          <w:sz w:val="18"/>
          <w:szCs w:val="18"/>
        </w:rPr>
        <w:t xml:space="preserve"> resolve the dispute.</w:t>
      </w:r>
    </w:p>
    <w:p w14:paraId="0FD769E8" w14:textId="77777777" w:rsidR="00C4460F" w:rsidRDefault="00000000">
      <w:pPr>
        <w:widowControl w:val="0"/>
        <w:numPr>
          <w:ilvl w:val="0"/>
          <w:numId w:val="13"/>
        </w:numPr>
        <w:pBdr>
          <w:top w:val="nil"/>
          <w:left w:val="nil"/>
          <w:bottom w:val="nil"/>
          <w:right w:val="nil"/>
          <w:between w:val="nil"/>
        </w:pBdr>
        <w:spacing w:line="276" w:lineRule="auto"/>
        <w:jc w:val="both"/>
        <w:rPr>
          <w:rFonts w:ascii="Arial" w:eastAsia="Arial" w:hAnsi="Arial" w:cs="Arial"/>
          <w:color w:val="000000"/>
          <w:sz w:val="18"/>
          <w:szCs w:val="18"/>
        </w:rPr>
      </w:pPr>
      <w:r>
        <w:rPr>
          <w:rFonts w:ascii="Arial" w:eastAsia="Arial" w:hAnsi="Arial" w:cs="Arial"/>
          <w:color w:val="231F20"/>
          <w:sz w:val="18"/>
          <w:szCs w:val="18"/>
        </w:rPr>
        <w:lastRenderedPageBreak/>
        <w:t xml:space="preserve">If the student feels that she or he is unable to do this or if areas of disagreement </w:t>
      </w:r>
      <w:proofErr w:type="gramStart"/>
      <w:r>
        <w:rPr>
          <w:rFonts w:ascii="Arial" w:eastAsia="Arial" w:hAnsi="Arial" w:cs="Arial"/>
          <w:color w:val="231F20"/>
          <w:sz w:val="18"/>
          <w:szCs w:val="18"/>
        </w:rPr>
        <w:t>still remain</w:t>
      </w:r>
      <w:proofErr w:type="gramEnd"/>
      <w:r>
        <w:rPr>
          <w:rFonts w:ascii="Arial" w:eastAsia="Arial" w:hAnsi="Arial" w:cs="Arial"/>
          <w:color w:val="231F20"/>
          <w:sz w:val="18"/>
          <w:szCs w:val="18"/>
        </w:rPr>
        <w:t xml:space="preserve"> after this meeting, a written appeal describing the situation and requesting involvement should be addressed within 14 days to the department chair. If the chair is a member of the committee, the appeal should be made to the Director of Graduate Studies, or if a conflict of interest is also present there, to the Vice Chair. The department should act to resolve the issue, or declare it irresolvable, and inform the student in writing within 30 days.</w:t>
      </w:r>
    </w:p>
    <w:p w14:paraId="5606A3CD" w14:textId="77777777" w:rsidR="00C4460F" w:rsidRDefault="00000000">
      <w:pPr>
        <w:widowControl w:val="0"/>
        <w:numPr>
          <w:ilvl w:val="0"/>
          <w:numId w:val="13"/>
        </w:numPr>
        <w:pBdr>
          <w:top w:val="nil"/>
          <w:left w:val="nil"/>
          <w:bottom w:val="nil"/>
          <w:right w:val="nil"/>
          <w:between w:val="nil"/>
        </w:pBdr>
        <w:spacing w:line="276" w:lineRule="auto"/>
        <w:jc w:val="both"/>
        <w:rPr>
          <w:rFonts w:ascii="Arial" w:eastAsia="Arial" w:hAnsi="Arial" w:cs="Arial"/>
          <w:color w:val="000000"/>
          <w:sz w:val="18"/>
          <w:szCs w:val="18"/>
        </w:rPr>
      </w:pPr>
      <w:r>
        <w:rPr>
          <w:rFonts w:ascii="Arial" w:eastAsia="Arial" w:hAnsi="Arial" w:cs="Arial"/>
          <w:color w:val="231F20"/>
          <w:sz w:val="18"/>
          <w:szCs w:val="18"/>
        </w:rPr>
        <w:t>If the dispute cannot be resolved within the department, or if the student finds the department’s resolution unacceptable, the student may appeal to the Graduate Dean, who will attempt further resolution. This appeal must be made in writing within 14 days of the department’s decision.</w:t>
      </w:r>
    </w:p>
    <w:p w14:paraId="57C6C3FE" w14:textId="77777777" w:rsidR="00C4460F" w:rsidRDefault="00000000">
      <w:pPr>
        <w:widowControl w:val="0"/>
        <w:numPr>
          <w:ilvl w:val="0"/>
          <w:numId w:val="13"/>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18"/>
          <w:szCs w:val="18"/>
        </w:rPr>
        <w:t>If the Grad</w:t>
      </w:r>
      <w:r>
        <w:rPr>
          <w:rFonts w:ascii="Arial" w:eastAsia="Arial" w:hAnsi="Arial" w:cs="Arial"/>
          <w:color w:val="231F20"/>
          <w:sz w:val="20"/>
          <w:szCs w:val="20"/>
        </w:rPr>
        <w:t>u</w:t>
      </w:r>
      <w:r>
        <w:rPr>
          <w:rFonts w:ascii="Arial" w:eastAsia="Arial" w:hAnsi="Arial" w:cs="Arial"/>
          <w:color w:val="231F20"/>
          <w:sz w:val="18"/>
          <w:szCs w:val="18"/>
        </w:rPr>
        <w:t>ate Dean is unable to resolve the dispute to the parties’ satisfaction within 30 days, the graduate student has 14 days to submit a written appeal to Graduate Council. Graduate Council must inform the student of its decision within 30 days. In such cases, decisions of the Graduate Council are final.</w:t>
      </w:r>
    </w:p>
    <w:p w14:paraId="7F59BCEA"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18"/>
          <w:szCs w:val="18"/>
        </w:rPr>
      </w:pPr>
    </w:p>
    <w:p w14:paraId="30B14E73"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D1B6BC5" w14:textId="77777777" w:rsidR="00C4460F" w:rsidRDefault="00000000">
      <w:pPr>
        <w:pStyle w:val="Heading1"/>
        <w:tabs>
          <w:tab w:val="right" w:pos="720"/>
        </w:tabs>
        <w:spacing w:line="276" w:lineRule="auto"/>
        <w:ind w:left="0"/>
        <w:rPr>
          <w:rFonts w:ascii="Arial" w:eastAsia="Arial" w:hAnsi="Arial" w:cs="Arial"/>
          <w:b w:val="0"/>
          <w:bCs w:val="0"/>
          <w:color w:val="231F20"/>
        </w:rPr>
      </w:pPr>
      <w:bookmarkStart w:id="20" w:name="_heading=h.o5noggh4dte" w:colFirst="0" w:colLast="0"/>
      <w:bookmarkEnd w:id="20"/>
      <w:r>
        <w:rPr>
          <w:rFonts w:ascii="Arial" w:eastAsia="Arial" w:hAnsi="Arial" w:cs="Arial"/>
          <w:b w:val="0"/>
          <w:bCs w:val="0"/>
          <w:color w:val="231F20"/>
        </w:rPr>
        <w:t>OUR PROGRAM</w:t>
      </w:r>
    </w:p>
    <w:p w14:paraId="40021DD0" w14:textId="77777777" w:rsidR="00C4460F" w:rsidRDefault="00000000">
      <w:pPr>
        <w:pStyle w:val="Heading3"/>
        <w:tabs>
          <w:tab w:val="right" w:pos="720"/>
        </w:tabs>
        <w:spacing w:line="276" w:lineRule="auto"/>
        <w:ind w:left="0"/>
        <w:jc w:val="both"/>
        <w:rPr>
          <w:rFonts w:ascii="Arial" w:eastAsia="Arial" w:hAnsi="Arial" w:cs="Arial"/>
          <w:b w:val="0"/>
          <w:bCs w:val="0"/>
          <w:sz w:val="22"/>
          <w:szCs w:val="22"/>
          <w:u w:val="single"/>
        </w:rPr>
      </w:pPr>
      <w:bookmarkStart w:id="21" w:name="_heading=h.x04b2huwjt0t" w:colFirst="0" w:colLast="0"/>
      <w:bookmarkEnd w:id="21"/>
      <w:r>
        <w:rPr>
          <w:rFonts w:ascii="Arial" w:eastAsia="Arial" w:hAnsi="Arial" w:cs="Arial"/>
          <w:b w:val="0"/>
          <w:bCs w:val="0"/>
          <w:color w:val="231F20"/>
          <w:sz w:val="22"/>
          <w:szCs w:val="22"/>
          <w:u w:val="single"/>
        </w:rPr>
        <w:t>Undergraduate Preparation</w:t>
      </w:r>
    </w:p>
    <w:p w14:paraId="2C3E85B6"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An undergraduate degree in Film and Media Studies is not required for entering graduate students. Applicants with strong academic backgrounds in related study areas are strongly encouraged to apply. Students applying to the department with only an undergraduate degree must apply for the MA/Ph.D. program since the Ph.D. is their final degree objective.</w:t>
      </w:r>
    </w:p>
    <w:p w14:paraId="759C6617"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C056B6E" w14:textId="77777777" w:rsidR="00C4460F" w:rsidRDefault="00000000">
      <w:pPr>
        <w:pStyle w:val="Heading3"/>
        <w:tabs>
          <w:tab w:val="right" w:pos="720"/>
        </w:tabs>
        <w:spacing w:line="276" w:lineRule="auto"/>
        <w:ind w:left="0"/>
        <w:jc w:val="both"/>
        <w:rPr>
          <w:rFonts w:ascii="Arial" w:eastAsia="Arial" w:hAnsi="Arial" w:cs="Arial"/>
          <w:b w:val="0"/>
          <w:bCs w:val="0"/>
          <w:sz w:val="22"/>
          <w:szCs w:val="22"/>
          <w:u w:val="single"/>
        </w:rPr>
      </w:pPr>
      <w:bookmarkStart w:id="22" w:name="_heading=h.9zog1ft3x4j1" w:colFirst="0" w:colLast="0"/>
      <w:bookmarkEnd w:id="22"/>
      <w:r>
        <w:rPr>
          <w:rFonts w:ascii="Arial" w:eastAsia="Arial" w:hAnsi="Arial" w:cs="Arial"/>
          <w:b w:val="0"/>
          <w:bCs w:val="0"/>
          <w:color w:val="231F20"/>
          <w:sz w:val="22"/>
          <w:szCs w:val="22"/>
          <w:u w:val="single"/>
        </w:rPr>
        <w:t>Curriculum/Course Requirements</w:t>
      </w:r>
    </w:p>
    <w:p w14:paraId="46F7242A"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sz w:val="20"/>
          <w:szCs w:val="20"/>
        </w:rPr>
        <w:t xml:space="preserve">Our curriculum is comprised of two parts: a set of six core courses together with eleven (or five for the Ph.D.-only) supplemental/elective courses. </w:t>
      </w:r>
      <w:r>
        <w:rPr>
          <w:rFonts w:ascii="Arial" w:eastAsia="Arial" w:hAnsi="Arial" w:cs="Arial"/>
          <w:color w:val="231F20"/>
          <w:sz w:val="20"/>
          <w:szCs w:val="20"/>
        </w:rPr>
        <w:t>The graduate core courses focus on fundamental areas of competence in history, theory, analysis, and cultural studies. The elective courses make the program strongly disciplinary, interdisciplinary and international. Teaching Assistants earn TA Practicum units in addition to academic units for these core and elective courses.</w:t>
      </w:r>
    </w:p>
    <w:p w14:paraId="12334ADC"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4CB871A" w14:textId="77777777" w:rsidR="00C4460F" w:rsidRDefault="00000000">
      <w:pPr>
        <w:pStyle w:val="Heading2"/>
        <w:spacing w:line="276" w:lineRule="auto"/>
        <w:rPr>
          <w:rFonts w:ascii="Arial" w:eastAsia="Arial" w:hAnsi="Arial" w:cs="Arial"/>
          <w:b/>
          <w:bCs/>
        </w:rPr>
      </w:pPr>
      <w:bookmarkStart w:id="23" w:name="_heading=h.1cfo6x5wnd76" w:colFirst="0" w:colLast="0"/>
      <w:bookmarkEnd w:id="23"/>
      <w:r>
        <w:rPr>
          <w:rFonts w:ascii="Arial" w:eastAsia="Arial" w:hAnsi="Arial" w:cs="Arial"/>
        </w:rPr>
        <w:t>Core Courses</w:t>
      </w:r>
    </w:p>
    <w:p w14:paraId="1F0ADE98"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220 Critical Analysis</w:t>
      </w:r>
    </w:p>
    <w:p w14:paraId="7F0A2124"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230 Philosophy of History </w:t>
      </w:r>
    </w:p>
    <w:p w14:paraId="42A65D8F"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231 Media Historiographies</w:t>
      </w:r>
    </w:p>
    <w:p w14:paraId="03601DFB" w14:textId="77777777" w:rsidR="00C4460F" w:rsidRDefault="00000000">
      <w:pPr>
        <w:tabs>
          <w:tab w:val="left" w:pos="360"/>
          <w:tab w:val="right" w:pos="720"/>
        </w:tabs>
        <w:spacing w:line="276" w:lineRule="auto"/>
        <w:rPr>
          <w:rFonts w:ascii="Arial" w:eastAsia="Arial" w:hAnsi="Arial" w:cs="Arial"/>
          <w:sz w:val="20"/>
          <w:szCs w:val="20"/>
        </w:rPr>
      </w:pPr>
      <w:r>
        <w:rPr>
          <w:rFonts w:ascii="Arial" w:eastAsia="Arial" w:hAnsi="Arial" w:cs="Arial"/>
          <w:color w:val="231F20"/>
          <w:sz w:val="20"/>
          <w:szCs w:val="20"/>
        </w:rPr>
        <w:t>240 Film Theory</w:t>
      </w:r>
    </w:p>
    <w:p w14:paraId="196AD04C" w14:textId="77777777" w:rsidR="00C4460F" w:rsidRDefault="00000000">
      <w:pPr>
        <w:widowControl w:val="0"/>
        <w:pBdr>
          <w:top w:val="nil"/>
          <w:left w:val="nil"/>
          <w:bottom w:val="nil"/>
          <w:right w:val="nil"/>
          <w:between w:val="nil"/>
        </w:pBdr>
        <w:tabs>
          <w:tab w:val="left" w:pos="360"/>
          <w:tab w:val="right" w:pos="720"/>
        </w:tabs>
        <w:spacing w:line="276" w:lineRule="auto"/>
        <w:rPr>
          <w:rFonts w:ascii="Arial" w:eastAsia="Arial" w:hAnsi="Arial" w:cs="Arial"/>
          <w:color w:val="000000"/>
          <w:sz w:val="20"/>
          <w:szCs w:val="20"/>
        </w:rPr>
      </w:pPr>
      <w:r>
        <w:rPr>
          <w:rFonts w:ascii="Arial" w:eastAsia="Arial" w:hAnsi="Arial" w:cs="Arial"/>
          <w:color w:val="231F20"/>
          <w:sz w:val="20"/>
          <w:szCs w:val="20"/>
        </w:rPr>
        <w:t>241 Television and New Media Theory</w:t>
      </w:r>
    </w:p>
    <w:p w14:paraId="31C5AA3C" w14:textId="77777777" w:rsidR="00C4460F" w:rsidRDefault="00000000">
      <w:pPr>
        <w:widowControl w:val="0"/>
        <w:pBdr>
          <w:top w:val="nil"/>
          <w:left w:val="nil"/>
          <w:bottom w:val="nil"/>
          <w:right w:val="nil"/>
          <w:between w:val="nil"/>
        </w:pBdr>
        <w:tabs>
          <w:tab w:val="left" w:pos="360"/>
          <w:tab w:val="right" w:pos="720"/>
        </w:tabs>
        <w:spacing w:line="276" w:lineRule="auto"/>
        <w:rPr>
          <w:rFonts w:ascii="Arial" w:eastAsia="Arial" w:hAnsi="Arial" w:cs="Arial"/>
          <w:color w:val="000000"/>
          <w:sz w:val="20"/>
          <w:szCs w:val="20"/>
        </w:rPr>
      </w:pPr>
      <w:r>
        <w:rPr>
          <w:rFonts w:ascii="Arial" w:eastAsia="Arial" w:hAnsi="Arial" w:cs="Arial"/>
          <w:color w:val="231F20"/>
          <w:sz w:val="20"/>
          <w:szCs w:val="20"/>
        </w:rPr>
        <w:t>250 Cultural Theory</w:t>
      </w:r>
    </w:p>
    <w:p w14:paraId="0720833C"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5575A8F"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bookmarkStart w:id="24" w:name="_heading=h.ic4bdpynru1y" w:colFirst="0" w:colLast="0"/>
      <w:bookmarkEnd w:id="24"/>
      <w:r>
        <w:rPr>
          <w:rFonts w:ascii="Arial" w:eastAsia="Arial" w:hAnsi="Arial" w:cs="Arial"/>
          <w:color w:val="231F20"/>
          <w:sz w:val="20"/>
          <w:szCs w:val="20"/>
        </w:rPr>
        <w:t xml:space="preserve">In lieu of a single research and methods course, the core curriculum distributes methodological training across a series of courses involved with concrete research topics </w:t>
      </w:r>
      <w:proofErr w:type="gramStart"/>
      <w:r>
        <w:rPr>
          <w:rFonts w:ascii="Arial" w:eastAsia="Arial" w:hAnsi="Arial" w:cs="Arial"/>
          <w:color w:val="231F20"/>
          <w:sz w:val="20"/>
          <w:szCs w:val="20"/>
        </w:rPr>
        <w:t>in order to</w:t>
      </w:r>
      <w:proofErr w:type="gramEnd"/>
      <w:r>
        <w:rPr>
          <w:rFonts w:ascii="Arial" w:eastAsia="Arial" w:hAnsi="Arial" w:cs="Arial"/>
          <w:color w:val="231F20"/>
          <w:sz w:val="20"/>
          <w:szCs w:val="20"/>
        </w:rPr>
        <w:t xml:space="preserve"> offer a working sense of how one approaches a media object of study from a variety of perspectives. Together with the M.A. and Ph.D. exams, the curriculum is designed to encourage students to acquire professional experience in teaching, presenting research, and developing a research plan for the dissertation.</w:t>
      </w:r>
    </w:p>
    <w:p w14:paraId="0339D78D"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D0EE728" w14:textId="77777777" w:rsidR="00C4460F" w:rsidRDefault="00000000">
      <w:pPr>
        <w:pStyle w:val="Heading2"/>
        <w:spacing w:line="276" w:lineRule="auto"/>
        <w:rPr>
          <w:rFonts w:ascii="Arial" w:eastAsia="Arial" w:hAnsi="Arial" w:cs="Arial"/>
          <w:b/>
          <w:bCs/>
        </w:rPr>
      </w:pPr>
      <w:bookmarkStart w:id="25" w:name="_heading=h.u64xlmsdrsrd" w:colFirst="0" w:colLast="0"/>
      <w:bookmarkEnd w:id="25"/>
      <w:r>
        <w:rPr>
          <w:rFonts w:ascii="Arial" w:eastAsia="Arial" w:hAnsi="Arial" w:cs="Arial"/>
        </w:rPr>
        <w:t>Graduate Electives</w:t>
      </w:r>
    </w:p>
    <w:p w14:paraId="1FC6C67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department offers a wide range of graduate electives. Under certain circumstances—for example, if the topic is crucial to the student’s research or a course will not be offered when needed—credit is also available for two courses in the department’s upper- division undergraduate program (using the undergraduate course number). Furthermore, there are numerous opportunities to take graduate courses in other departments. With the approval of the student’s mentor, the department’s Director of Graduate Studies, and the department’s Chair, up to five elective courses in the first three years of the M.A./Ph.D. may be taken in other departments; and up to three elective courses in the first two years of the Ph.D.-</w:t>
      </w:r>
      <w:r>
        <w:rPr>
          <w:rFonts w:ascii="Arial" w:eastAsia="Arial" w:hAnsi="Arial" w:cs="Arial"/>
          <w:color w:val="231F20"/>
          <w:sz w:val="20"/>
          <w:szCs w:val="20"/>
        </w:rPr>
        <w:lastRenderedPageBreak/>
        <w:t xml:space="preserve">only. </w:t>
      </w:r>
    </w:p>
    <w:p w14:paraId="27B7D6E3"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2BB8347"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sz w:val="20"/>
          <w:szCs w:val="20"/>
        </w:rPr>
        <w:t xml:space="preserve">Please note that the following courses are Workload Courses and do not count toward the graduate elective requirement: 298 (Prospectus Writing), 501 (TA Practicum), 597 (MA and PhD Exam Preparation), 599 (Dissertation Research and Writing).  </w:t>
      </w:r>
    </w:p>
    <w:p w14:paraId="7EA81933"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1DBB4A3" w14:textId="77777777" w:rsidR="00C4460F" w:rsidRDefault="00000000">
      <w:pPr>
        <w:pStyle w:val="Heading2"/>
        <w:spacing w:line="276" w:lineRule="auto"/>
        <w:rPr>
          <w:rFonts w:ascii="Arial" w:eastAsia="Arial" w:hAnsi="Arial" w:cs="Arial"/>
          <w:b/>
          <w:bCs/>
        </w:rPr>
      </w:pPr>
      <w:bookmarkStart w:id="26" w:name="_heading=h.gqnmtalujcrn" w:colFirst="0" w:colLast="0"/>
      <w:bookmarkEnd w:id="26"/>
      <w:r>
        <w:rPr>
          <w:rFonts w:ascii="Arial" w:eastAsia="Arial" w:hAnsi="Arial" w:cs="Arial"/>
        </w:rPr>
        <w:t>Policy on Independent Studies Courses</w:t>
      </w:r>
    </w:p>
    <w:p w14:paraId="34AD957A"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bookmarkStart w:id="27" w:name="_heading=h.gwowilo0icq3" w:colFirst="0" w:colLast="0"/>
      <w:bookmarkEnd w:id="27"/>
      <w:r>
        <w:rPr>
          <w:rFonts w:ascii="Arial" w:eastAsia="Arial" w:hAnsi="Arial" w:cs="Arial"/>
          <w:color w:val="231F20"/>
          <w:sz w:val="20"/>
          <w:szCs w:val="20"/>
        </w:rPr>
        <w:t xml:space="preserve">Department policy is that only a maximum of two 596 courses can be taken as part of the eleven electives for the M.A./Ph.D. or as part of the five electives for the Ph.D.-only. Beyond the elective courses, students may take whatever they choose, but they are advised to use their opportunities wisely, especially as part of their preparation for the qualifying exam. When a student is away from campus doing research, </w:t>
      </w:r>
      <w:proofErr w:type="gramStart"/>
      <w:r>
        <w:rPr>
          <w:rFonts w:ascii="Arial" w:eastAsia="Arial" w:hAnsi="Arial" w:cs="Arial"/>
          <w:color w:val="231F20"/>
          <w:sz w:val="20"/>
          <w:szCs w:val="20"/>
        </w:rPr>
        <w:t>they  may</w:t>
      </w:r>
      <w:proofErr w:type="gramEnd"/>
      <w:r>
        <w:rPr>
          <w:rFonts w:ascii="Arial" w:eastAsia="Arial" w:hAnsi="Arial" w:cs="Arial"/>
          <w:color w:val="231F20"/>
          <w:sz w:val="20"/>
          <w:szCs w:val="20"/>
        </w:rPr>
        <w:t xml:space="preserve"> arrange to take 596’s with the approval of the student’s mentor, the Director of Graduate Studies, and the Chair. The two-rule will apply also to 596’s, or similar independent study or directed reading courses, offered by faculty in other departments on campus.</w:t>
      </w:r>
    </w:p>
    <w:p w14:paraId="024C2F02"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FB4105B" w14:textId="77777777" w:rsidR="00C4460F" w:rsidRDefault="00000000">
      <w:pPr>
        <w:pStyle w:val="Heading2"/>
        <w:spacing w:line="276" w:lineRule="auto"/>
        <w:rPr>
          <w:rFonts w:ascii="Arial" w:eastAsia="Arial" w:hAnsi="Arial" w:cs="Arial"/>
          <w:b/>
          <w:bCs/>
          <w:sz w:val="26"/>
          <w:szCs w:val="26"/>
          <w:u w:val="none"/>
        </w:rPr>
      </w:pPr>
      <w:bookmarkStart w:id="28" w:name="_heading=h.gcsdnkp8y5ze" w:colFirst="0" w:colLast="0"/>
      <w:bookmarkEnd w:id="28"/>
      <w:r>
        <w:rPr>
          <w:rFonts w:ascii="Arial" w:eastAsia="Arial" w:hAnsi="Arial" w:cs="Arial"/>
          <w:sz w:val="26"/>
          <w:szCs w:val="26"/>
          <w:u w:val="none"/>
        </w:rPr>
        <w:t>MASTER OF ARTS (M.A.) IN FILM AND MEDIA STUDIES</w:t>
      </w:r>
    </w:p>
    <w:p w14:paraId="79E4487A"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department does not admit students solely for the purpose of obtaining a master’s degree. All applicants are admitted to a single M.A./Ph.D. program. The M.A. degree in film and media studies is looked upon as a valuable stage on the path to the doctorate. The aim of the program is to provide students with research training (and an appropriate foreign language) leading to the doctoral degree. The normative time for the M.A. is two years. Students who lack a background in the discipline may be required to complete one or more additional upper-division undergraduate courses in film and media studies prior to conferral of the M.A.</w:t>
      </w:r>
    </w:p>
    <w:p w14:paraId="45BD63DC"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DACCC36"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In the first two years the student must complete six graduate core curriculum courses and five graduate elective courses for a total of eleven courses (out of the seventeen required for the Ph.D.) By the end of the second year the student must pass an oral M.A. exam administered by the student’s M.A. Committee based on two research papers written and revised by the student during the first two years of the program.</w:t>
      </w:r>
    </w:p>
    <w:p w14:paraId="3922EC90" w14:textId="77777777" w:rsidR="00C4460F" w:rsidRDefault="00C4460F">
      <w:pPr>
        <w:widowControl w:val="0"/>
        <w:pBdr>
          <w:top w:val="nil"/>
          <w:left w:val="nil"/>
          <w:bottom w:val="nil"/>
          <w:right w:val="nil"/>
          <w:between w:val="nil"/>
        </w:pBdr>
        <w:tabs>
          <w:tab w:val="right" w:pos="720"/>
        </w:tabs>
        <w:spacing w:line="276" w:lineRule="auto"/>
        <w:ind w:right="117"/>
        <w:rPr>
          <w:rFonts w:ascii="Arial" w:eastAsia="Arial" w:hAnsi="Arial" w:cs="Arial"/>
          <w:color w:val="231F20"/>
          <w:sz w:val="22"/>
          <w:szCs w:val="22"/>
        </w:rPr>
      </w:pPr>
    </w:p>
    <w:p w14:paraId="0BDA2BF4" w14:textId="77777777" w:rsidR="00C4460F" w:rsidRDefault="00000000">
      <w:pPr>
        <w:widowControl w:val="0"/>
        <w:pBdr>
          <w:top w:val="nil"/>
          <w:left w:val="nil"/>
          <w:bottom w:val="nil"/>
          <w:right w:val="nil"/>
          <w:between w:val="nil"/>
        </w:pBdr>
        <w:tabs>
          <w:tab w:val="right" w:pos="720"/>
        </w:tabs>
        <w:spacing w:line="276" w:lineRule="auto"/>
        <w:ind w:right="117"/>
        <w:rPr>
          <w:rFonts w:ascii="Arial" w:eastAsia="Arial" w:hAnsi="Arial" w:cs="Arial"/>
          <w:color w:val="231F20"/>
          <w:sz w:val="22"/>
          <w:szCs w:val="22"/>
          <w:u w:val="single"/>
        </w:rPr>
      </w:pPr>
      <w:r>
        <w:rPr>
          <w:rFonts w:ascii="Arial" w:eastAsia="Arial" w:hAnsi="Arial" w:cs="Arial"/>
          <w:color w:val="231F20"/>
          <w:sz w:val="22"/>
          <w:szCs w:val="22"/>
          <w:u w:val="single"/>
        </w:rPr>
        <w:t>Important Dates and Milestones for On-Time Progress (M.A./</w:t>
      </w:r>
      <w:proofErr w:type="spellStart"/>
      <w:proofErr w:type="gramStart"/>
      <w:r>
        <w:rPr>
          <w:rFonts w:ascii="Arial" w:eastAsia="Arial" w:hAnsi="Arial" w:cs="Arial"/>
          <w:color w:val="231F20"/>
          <w:sz w:val="22"/>
          <w:szCs w:val="22"/>
          <w:u w:val="single"/>
        </w:rPr>
        <w:t>Ph.D</w:t>
      </w:r>
      <w:proofErr w:type="spellEnd"/>
      <w:proofErr w:type="gramEnd"/>
      <w:r>
        <w:rPr>
          <w:rFonts w:ascii="Arial" w:eastAsia="Arial" w:hAnsi="Arial" w:cs="Arial"/>
          <w:color w:val="231F20"/>
          <w:sz w:val="22"/>
          <w:szCs w:val="22"/>
          <w:u w:val="single"/>
        </w:rPr>
        <w:t>) (enter: Fall 2025)</w:t>
      </w:r>
    </w:p>
    <w:p w14:paraId="4BD4E8BC" w14:textId="77777777" w:rsidR="00C4460F" w:rsidRDefault="00C4460F">
      <w:pPr>
        <w:widowControl w:val="0"/>
        <w:pBdr>
          <w:top w:val="nil"/>
          <w:left w:val="nil"/>
          <w:bottom w:val="nil"/>
          <w:right w:val="nil"/>
          <w:between w:val="nil"/>
        </w:pBdr>
        <w:tabs>
          <w:tab w:val="right" w:pos="720"/>
        </w:tabs>
        <w:spacing w:line="276" w:lineRule="auto"/>
        <w:ind w:right="117"/>
        <w:rPr>
          <w:rFonts w:ascii="Arial" w:eastAsia="Arial" w:hAnsi="Arial" w:cs="Arial"/>
          <w:color w:val="231F20"/>
          <w:sz w:val="22"/>
          <w:szCs w:val="22"/>
          <w:u w:val="single"/>
        </w:rPr>
      </w:pPr>
      <w:bookmarkStart w:id="29" w:name="_heading=h.i10bit6m84ry" w:colFirst="0" w:colLast="0"/>
      <w:bookmarkEnd w:id="29"/>
    </w:p>
    <w:p w14:paraId="41F15DDF" w14:textId="77777777" w:rsidR="00C4460F" w:rsidRDefault="00000000">
      <w:pPr>
        <w:spacing w:line="276" w:lineRule="auto"/>
        <w:rPr>
          <w:rFonts w:ascii="Arial" w:eastAsia="Arial" w:hAnsi="Arial" w:cs="Arial"/>
          <w:b/>
          <w:bCs/>
          <w:sz w:val="20"/>
          <w:szCs w:val="20"/>
        </w:rPr>
      </w:pPr>
      <w:r>
        <w:rPr>
          <w:rFonts w:ascii="Arial" w:eastAsia="Arial" w:hAnsi="Arial" w:cs="Arial"/>
          <w:b/>
          <w:bCs/>
          <w:sz w:val="20"/>
          <w:szCs w:val="20"/>
        </w:rPr>
        <w:t xml:space="preserve">Year 2:   </w:t>
      </w:r>
    </w:p>
    <w:p w14:paraId="63AB0B3A" w14:textId="77777777" w:rsidR="00C4460F" w:rsidRDefault="00000000">
      <w:pPr>
        <w:numPr>
          <w:ilvl w:val="0"/>
          <w:numId w:val="3"/>
        </w:numPr>
        <w:spacing w:line="276" w:lineRule="auto"/>
        <w:rPr>
          <w:rFonts w:ascii="Arial" w:eastAsia="Arial" w:hAnsi="Arial" w:cs="Arial"/>
          <w:sz w:val="20"/>
          <w:szCs w:val="20"/>
        </w:rPr>
      </w:pPr>
      <w:r>
        <w:rPr>
          <w:rFonts w:ascii="Arial" w:eastAsia="Arial" w:hAnsi="Arial" w:cs="Arial"/>
          <w:b/>
          <w:bCs/>
          <w:sz w:val="20"/>
          <w:szCs w:val="20"/>
        </w:rPr>
        <w:t xml:space="preserve">MA Committee </w:t>
      </w:r>
      <w:r>
        <w:rPr>
          <w:rFonts w:ascii="Arial" w:eastAsia="Arial" w:hAnsi="Arial" w:cs="Arial"/>
          <w:sz w:val="20"/>
          <w:szCs w:val="20"/>
        </w:rPr>
        <w:t>must be constituted and form submitted by end of 4th week of Winter 2027</w:t>
      </w:r>
      <w:r>
        <w:rPr>
          <w:rFonts w:ascii="Arial" w:eastAsia="Arial" w:hAnsi="Arial" w:cs="Arial"/>
          <w:b/>
          <w:bCs/>
          <w:sz w:val="20"/>
          <w:szCs w:val="20"/>
        </w:rPr>
        <w:t xml:space="preserve"> (Friday, January 29, 2027)</w:t>
      </w:r>
    </w:p>
    <w:p w14:paraId="33DA9A65" w14:textId="77777777" w:rsidR="00C4460F" w:rsidRDefault="00000000">
      <w:pPr>
        <w:numPr>
          <w:ilvl w:val="0"/>
          <w:numId w:val="3"/>
        </w:numPr>
        <w:spacing w:line="276" w:lineRule="auto"/>
        <w:rPr>
          <w:rFonts w:ascii="Arial" w:eastAsia="Arial" w:hAnsi="Arial" w:cs="Arial"/>
          <w:sz w:val="20"/>
          <w:szCs w:val="20"/>
        </w:rPr>
      </w:pPr>
      <w:r>
        <w:rPr>
          <w:rFonts w:ascii="Arial" w:eastAsia="Arial" w:hAnsi="Arial" w:cs="Arial"/>
          <w:b/>
          <w:bCs/>
          <w:sz w:val="20"/>
          <w:szCs w:val="20"/>
        </w:rPr>
        <w:t xml:space="preserve">MA Oral Exam </w:t>
      </w:r>
      <w:r>
        <w:rPr>
          <w:rFonts w:ascii="Arial" w:eastAsia="Arial" w:hAnsi="Arial" w:cs="Arial"/>
          <w:sz w:val="20"/>
          <w:szCs w:val="20"/>
        </w:rPr>
        <w:t xml:space="preserve">taken by end of 4th week of Spring 2027 </w:t>
      </w:r>
      <w:r>
        <w:rPr>
          <w:rFonts w:ascii="Arial" w:eastAsia="Arial" w:hAnsi="Arial" w:cs="Arial"/>
          <w:b/>
          <w:bCs/>
          <w:sz w:val="20"/>
          <w:szCs w:val="20"/>
        </w:rPr>
        <w:t>(Friday, April 23, 2027</w:t>
      </w:r>
      <w:r>
        <w:rPr>
          <w:rFonts w:ascii="Arial" w:eastAsia="Arial" w:hAnsi="Arial" w:cs="Arial"/>
          <w:sz w:val="20"/>
          <w:szCs w:val="20"/>
        </w:rPr>
        <w:t>)</w:t>
      </w:r>
    </w:p>
    <w:p w14:paraId="6461E4DD" w14:textId="77777777" w:rsidR="00C4460F" w:rsidRDefault="00000000">
      <w:pPr>
        <w:spacing w:line="276" w:lineRule="auto"/>
        <w:rPr>
          <w:rFonts w:ascii="Arial" w:eastAsia="Arial" w:hAnsi="Arial" w:cs="Arial"/>
          <w:sz w:val="20"/>
          <w:szCs w:val="20"/>
        </w:rPr>
      </w:pPr>
      <w:r>
        <w:rPr>
          <w:rFonts w:ascii="Arial" w:eastAsia="Arial" w:hAnsi="Arial" w:cs="Arial"/>
          <w:sz w:val="20"/>
          <w:szCs w:val="20"/>
        </w:rPr>
        <w:t xml:space="preserve"> </w:t>
      </w:r>
    </w:p>
    <w:p w14:paraId="1A95D9C4" w14:textId="77777777" w:rsidR="00C4460F" w:rsidRDefault="00000000">
      <w:pPr>
        <w:spacing w:line="276" w:lineRule="auto"/>
        <w:rPr>
          <w:rFonts w:ascii="Arial" w:eastAsia="Arial" w:hAnsi="Arial" w:cs="Arial"/>
          <w:sz w:val="20"/>
          <w:szCs w:val="20"/>
        </w:rPr>
      </w:pPr>
      <w:r>
        <w:rPr>
          <w:rFonts w:ascii="Arial" w:eastAsia="Arial" w:hAnsi="Arial" w:cs="Arial"/>
          <w:b/>
          <w:bCs/>
          <w:sz w:val="20"/>
          <w:szCs w:val="20"/>
        </w:rPr>
        <w:t>Year 3:</w:t>
      </w:r>
      <w:r>
        <w:rPr>
          <w:rFonts w:ascii="Arial" w:eastAsia="Arial" w:hAnsi="Arial" w:cs="Arial"/>
          <w:sz w:val="20"/>
          <w:szCs w:val="20"/>
        </w:rPr>
        <w:t xml:space="preserve">      </w:t>
      </w:r>
    </w:p>
    <w:p w14:paraId="01CFE1C3" w14:textId="77777777" w:rsidR="00C4460F" w:rsidRDefault="00000000">
      <w:pPr>
        <w:numPr>
          <w:ilvl w:val="0"/>
          <w:numId w:val="4"/>
        </w:numPr>
        <w:spacing w:line="276"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sz w:val="20"/>
          <w:szCs w:val="20"/>
        </w:rPr>
        <w:t>Dissertation Committee</w:t>
      </w:r>
      <w:r>
        <w:rPr>
          <w:rFonts w:ascii="Arial" w:eastAsia="Arial" w:hAnsi="Arial" w:cs="Arial"/>
          <w:sz w:val="20"/>
          <w:szCs w:val="20"/>
        </w:rPr>
        <w:t xml:space="preserve"> must be constituted and form submitted by end of 4</w:t>
      </w:r>
      <w:r>
        <w:rPr>
          <w:rFonts w:ascii="Arial" w:eastAsia="Arial" w:hAnsi="Arial" w:cs="Arial"/>
          <w:sz w:val="20"/>
          <w:szCs w:val="20"/>
          <w:vertAlign w:val="superscript"/>
        </w:rPr>
        <w:t xml:space="preserve">th </w:t>
      </w:r>
      <w:r>
        <w:rPr>
          <w:rFonts w:ascii="Arial" w:eastAsia="Arial" w:hAnsi="Arial" w:cs="Arial"/>
          <w:sz w:val="20"/>
          <w:szCs w:val="20"/>
        </w:rPr>
        <w:t>week of Spring 2028 (</w:t>
      </w:r>
      <w:r>
        <w:rPr>
          <w:rFonts w:ascii="Arial" w:eastAsia="Arial" w:hAnsi="Arial" w:cs="Arial"/>
          <w:b/>
          <w:bCs/>
          <w:sz w:val="20"/>
          <w:szCs w:val="20"/>
        </w:rPr>
        <w:t>April 28, 2028</w:t>
      </w:r>
      <w:r>
        <w:rPr>
          <w:rFonts w:ascii="Arial" w:eastAsia="Arial" w:hAnsi="Arial" w:cs="Arial"/>
          <w:sz w:val="20"/>
          <w:szCs w:val="20"/>
        </w:rPr>
        <w:t>)</w:t>
      </w:r>
    </w:p>
    <w:p w14:paraId="1F14BA1A" w14:textId="77777777" w:rsidR="00C4460F" w:rsidRDefault="00000000">
      <w:pPr>
        <w:numPr>
          <w:ilvl w:val="0"/>
          <w:numId w:val="4"/>
        </w:numPr>
        <w:spacing w:line="276"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sz w:val="20"/>
          <w:szCs w:val="20"/>
        </w:rPr>
        <w:t>Dissertation topic and exam areas</w:t>
      </w:r>
      <w:r>
        <w:rPr>
          <w:rFonts w:ascii="Arial" w:eastAsia="Arial" w:hAnsi="Arial" w:cs="Arial"/>
          <w:sz w:val="20"/>
          <w:szCs w:val="20"/>
        </w:rPr>
        <w:t xml:space="preserve"> must be chosen by </w:t>
      </w:r>
      <w:r>
        <w:rPr>
          <w:rFonts w:ascii="Arial" w:eastAsia="Arial" w:hAnsi="Arial" w:cs="Arial"/>
          <w:b/>
          <w:bCs/>
          <w:sz w:val="20"/>
          <w:szCs w:val="20"/>
        </w:rPr>
        <w:t>Spring 2028</w:t>
      </w:r>
    </w:p>
    <w:p w14:paraId="79343D21" w14:textId="77777777" w:rsidR="00C4460F" w:rsidRDefault="00000000">
      <w:pPr>
        <w:spacing w:line="276" w:lineRule="auto"/>
        <w:ind w:left="1620"/>
        <w:rPr>
          <w:rFonts w:ascii="Arial" w:eastAsia="Arial" w:hAnsi="Arial" w:cs="Arial"/>
          <w:b/>
          <w:bCs/>
          <w:sz w:val="20"/>
          <w:szCs w:val="20"/>
        </w:rPr>
      </w:pPr>
      <w:r>
        <w:rPr>
          <w:rFonts w:ascii="Arial" w:eastAsia="Arial" w:hAnsi="Arial" w:cs="Arial"/>
          <w:sz w:val="20"/>
          <w:szCs w:val="20"/>
        </w:rPr>
        <w:t xml:space="preserve">-       </w:t>
      </w:r>
      <w:r>
        <w:rPr>
          <w:rFonts w:ascii="Arial" w:eastAsia="Arial" w:hAnsi="Arial" w:cs="Arial"/>
          <w:b/>
          <w:bCs/>
          <w:sz w:val="20"/>
          <w:szCs w:val="20"/>
        </w:rPr>
        <w:t xml:space="preserve">FAMST 298 - </w:t>
      </w:r>
      <w:r>
        <w:rPr>
          <w:rFonts w:ascii="Arial" w:eastAsia="Arial" w:hAnsi="Arial" w:cs="Arial"/>
          <w:i/>
          <w:iCs/>
          <w:sz w:val="20"/>
          <w:szCs w:val="20"/>
        </w:rPr>
        <w:t>Prospectus Preparation</w:t>
      </w:r>
      <w:r>
        <w:rPr>
          <w:rFonts w:ascii="Arial" w:eastAsia="Arial" w:hAnsi="Arial" w:cs="Arial"/>
          <w:sz w:val="20"/>
          <w:szCs w:val="20"/>
        </w:rPr>
        <w:t xml:space="preserve">:  enroll in </w:t>
      </w:r>
      <w:r>
        <w:rPr>
          <w:rFonts w:ascii="Arial" w:eastAsia="Arial" w:hAnsi="Arial" w:cs="Arial"/>
          <w:b/>
          <w:bCs/>
          <w:sz w:val="20"/>
          <w:szCs w:val="20"/>
        </w:rPr>
        <w:t>Spring 2028</w:t>
      </w:r>
    </w:p>
    <w:p w14:paraId="641A08FB" w14:textId="77777777" w:rsidR="00C4460F" w:rsidRDefault="00000000">
      <w:pPr>
        <w:spacing w:line="276" w:lineRule="auto"/>
        <w:ind w:left="16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sz w:val="20"/>
          <w:szCs w:val="20"/>
        </w:rPr>
        <w:t>Reading Lists</w:t>
      </w:r>
      <w:r>
        <w:rPr>
          <w:rFonts w:ascii="Arial" w:eastAsia="Arial" w:hAnsi="Arial" w:cs="Arial"/>
          <w:sz w:val="20"/>
          <w:szCs w:val="20"/>
        </w:rPr>
        <w:t>:  formulated by 10</w:t>
      </w:r>
      <w:r>
        <w:rPr>
          <w:rFonts w:ascii="Arial" w:eastAsia="Arial" w:hAnsi="Arial" w:cs="Arial"/>
          <w:sz w:val="20"/>
          <w:szCs w:val="20"/>
          <w:vertAlign w:val="superscript"/>
        </w:rPr>
        <w:t>th</w:t>
      </w:r>
      <w:r>
        <w:rPr>
          <w:rFonts w:ascii="Arial" w:eastAsia="Arial" w:hAnsi="Arial" w:cs="Arial"/>
          <w:sz w:val="20"/>
          <w:szCs w:val="20"/>
        </w:rPr>
        <w:t xml:space="preserve"> week of Spring 2028 (</w:t>
      </w:r>
      <w:r>
        <w:rPr>
          <w:rFonts w:ascii="Arial" w:eastAsia="Arial" w:hAnsi="Arial" w:cs="Arial"/>
          <w:b/>
          <w:bCs/>
          <w:sz w:val="20"/>
          <w:szCs w:val="20"/>
        </w:rPr>
        <w:t>June 9, 2028</w:t>
      </w:r>
      <w:r>
        <w:rPr>
          <w:rFonts w:ascii="Arial" w:eastAsia="Arial" w:hAnsi="Arial" w:cs="Arial"/>
          <w:sz w:val="20"/>
          <w:szCs w:val="20"/>
        </w:rPr>
        <w:t>)</w:t>
      </w:r>
    </w:p>
    <w:p w14:paraId="55D777E6" w14:textId="77777777" w:rsidR="00C4460F" w:rsidRDefault="00000000">
      <w:pPr>
        <w:spacing w:line="276" w:lineRule="auto"/>
        <w:ind w:left="1620"/>
        <w:rPr>
          <w:rFonts w:ascii="Arial" w:eastAsia="Arial" w:hAnsi="Arial" w:cs="Arial"/>
          <w:b/>
          <w:bCs/>
          <w:sz w:val="20"/>
          <w:szCs w:val="20"/>
        </w:rPr>
      </w:pPr>
      <w:r>
        <w:rPr>
          <w:rFonts w:ascii="Arial" w:eastAsia="Arial" w:hAnsi="Arial" w:cs="Arial"/>
          <w:sz w:val="20"/>
          <w:szCs w:val="20"/>
        </w:rPr>
        <w:t xml:space="preserve">-       </w:t>
      </w:r>
      <w:r>
        <w:rPr>
          <w:rFonts w:ascii="Arial" w:eastAsia="Arial" w:hAnsi="Arial" w:cs="Arial"/>
          <w:b/>
          <w:bCs/>
          <w:sz w:val="20"/>
          <w:szCs w:val="20"/>
        </w:rPr>
        <w:t xml:space="preserve">All coursework </w:t>
      </w:r>
      <w:r>
        <w:rPr>
          <w:rFonts w:ascii="Arial" w:eastAsia="Arial" w:hAnsi="Arial" w:cs="Arial"/>
          <w:sz w:val="20"/>
          <w:szCs w:val="20"/>
        </w:rPr>
        <w:t xml:space="preserve">completed by end of </w:t>
      </w:r>
      <w:r>
        <w:rPr>
          <w:rFonts w:ascii="Arial" w:eastAsia="Arial" w:hAnsi="Arial" w:cs="Arial"/>
          <w:b/>
          <w:bCs/>
          <w:sz w:val="20"/>
          <w:szCs w:val="20"/>
        </w:rPr>
        <w:t>Spring 2028</w:t>
      </w:r>
    </w:p>
    <w:p w14:paraId="461F8FEA" w14:textId="77777777" w:rsidR="00C4460F" w:rsidRDefault="00000000">
      <w:pPr>
        <w:spacing w:line="276" w:lineRule="auto"/>
        <w:rPr>
          <w:rFonts w:ascii="Arial" w:eastAsia="Arial" w:hAnsi="Arial" w:cs="Arial"/>
          <w:sz w:val="20"/>
          <w:szCs w:val="20"/>
        </w:rPr>
      </w:pPr>
      <w:r>
        <w:rPr>
          <w:rFonts w:ascii="Arial" w:eastAsia="Arial" w:hAnsi="Arial" w:cs="Arial"/>
          <w:sz w:val="20"/>
          <w:szCs w:val="20"/>
        </w:rPr>
        <w:t xml:space="preserve"> </w:t>
      </w:r>
    </w:p>
    <w:p w14:paraId="43E0EA49" w14:textId="77777777" w:rsidR="00C4460F" w:rsidRDefault="00000000">
      <w:pPr>
        <w:spacing w:line="276" w:lineRule="auto"/>
        <w:rPr>
          <w:rFonts w:ascii="Arial" w:eastAsia="Arial" w:hAnsi="Arial" w:cs="Arial"/>
          <w:sz w:val="20"/>
          <w:szCs w:val="20"/>
        </w:rPr>
      </w:pPr>
      <w:r>
        <w:rPr>
          <w:rFonts w:ascii="Arial" w:eastAsia="Arial" w:hAnsi="Arial" w:cs="Arial"/>
          <w:b/>
          <w:bCs/>
          <w:sz w:val="20"/>
          <w:szCs w:val="20"/>
        </w:rPr>
        <w:t>Year 4:</w:t>
      </w:r>
      <w:r>
        <w:rPr>
          <w:rFonts w:ascii="Arial" w:eastAsia="Arial" w:hAnsi="Arial" w:cs="Arial"/>
          <w:sz w:val="20"/>
          <w:szCs w:val="20"/>
        </w:rPr>
        <w:t xml:space="preserve">      </w:t>
      </w:r>
    </w:p>
    <w:p w14:paraId="2688CA0A" w14:textId="77777777" w:rsidR="00C4460F" w:rsidRDefault="00000000">
      <w:pPr>
        <w:numPr>
          <w:ilvl w:val="0"/>
          <w:numId w:val="25"/>
        </w:numPr>
        <w:spacing w:line="276" w:lineRule="auto"/>
        <w:rPr>
          <w:rFonts w:ascii="Arial" w:eastAsia="Arial" w:hAnsi="Arial" w:cs="Arial"/>
          <w:sz w:val="20"/>
          <w:szCs w:val="20"/>
        </w:rPr>
      </w:pPr>
      <w:r>
        <w:rPr>
          <w:rFonts w:ascii="Arial" w:eastAsia="Arial" w:hAnsi="Arial" w:cs="Arial"/>
          <w:b/>
          <w:bCs/>
          <w:sz w:val="20"/>
          <w:szCs w:val="20"/>
        </w:rPr>
        <w:t>Prospectus</w:t>
      </w:r>
      <w:r>
        <w:rPr>
          <w:rFonts w:ascii="Arial" w:eastAsia="Arial" w:hAnsi="Arial" w:cs="Arial"/>
          <w:sz w:val="20"/>
          <w:szCs w:val="20"/>
        </w:rPr>
        <w:t>:  submitted by 1</w:t>
      </w:r>
      <w:r>
        <w:rPr>
          <w:rFonts w:ascii="Arial" w:eastAsia="Arial" w:hAnsi="Arial" w:cs="Arial"/>
          <w:sz w:val="20"/>
          <w:szCs w:val="20"/>
          <w:vertAlign w:val="superscript"/>
        </w:rPr>
        <w:t>st</w:t>
      </w:r>
      <w:r>
        <w:rPr>
          <w:rFonts w:ascii="Arial" w:eastAsia="Arial" w:hAnsi="Arial" w:cs="Arial"/>
          <w:sz w:val="20"/>
          <w:szCs w:val="20"/>
        </w:rPr>
        <w:t xml:space="preserve"> day of Fall 2028 (</w:t>
      </w:r>
      <w:r>
        <w:rPr>
          <w:rFonts w:ascii="Arial" w:eastAsia="Arial" w:hAnsi="Arial" w:cs="Arial"/>
          <w:b/>
          <w:bCs/>
          <w:sz w:val="20"/>
          <w:szCs w:val="20"/>
        </w:rPr>
        <w:t>September 24, 2028</w:t>
      </w:r>
      <w:r>
        <w:rPr>
          <w:rFonts w:ascii="Arial" w:eastAsia="Arial" w:hAnsi="Arial" w:cs="Arial"/>
          <w:sz w:val="20"/>
          <w:szCs w:val="20"/>
        </w:rPr>
        <w:t>)</w:t>
      </w:r>
    </w:p>
    <w:p w14:paraId="68BB9B1A" w14:textId="77777777" w:rsidR="00C4460F" w:rsidRDefault="00000000">
      <w:pPr>
        <w:numPr>
          <w:ilvl w:val="0"/>
          <w:numId w:val="25"/>
        </w:numPr>
        <w:spacing w:line="276" w:lineRule="auto"/>
        <w:rPr>
          <w:rFonts w:ascii="Arial" w:eastAsia="Arial" w:hAnsi="Arial" w:cs="Arial"/>
          <w:sz w:val="20"/>
          <w:szCs w:val="20"/>
        </w:rPr>
      </w:pPr>
      <w:r>
        <w:rPr>
          <w:rFonts w:ascii="Arial" w:eastAsia="Arial" w:hAnsi="Arial" w:cs="Arial"/>
          <w:b/>
          <w:bCs/>
          <w:sz w:val="20"/>
          <w:szCs w:val="20"/>
        </w:rPr>
        <w:t>Qualifying Exams</w:t>
      </w:r>
      <w:r>
        <w:rPr>
          <w:rFonts w:ascii="Arial" w:eastAsia="Arial" w:hAnsi="Arial" w:cs="Arial"/>
          <w:sz w:val="20"/>
          <w:szCs w:val="20"/>
        </w:rPr>
        <w:t>:  taken by end of 3</w:t>
      </w:r>
      <w:r>
        <w:rPr>
          <w:rFonts w:ascii="Arial" w:eastAsia="Arial" w:hAnsi="Arial" w:cs="Arial"/>
          <w:sz w:val="20"/>
          <w:szCs w:val="20"/>
          <w:vertAlign w:val="superscript"/>
        </w:rPr>
        <w:t>rd</w:t>
      </w:r>
      <w:r>
        <w:rPr>
          <w:rFonts w:ascii="Arial" w:eastAsia="Arial" w:hAnsi="Arial" w:cs="Arial"/>
          <w:sz w:val="20"/>
          <w:szCs w:val="20"/>
        </w:rPr>
        <w:t xml:space="preserve"> week of Fall 2028 (</w:t>
      </w:r>
      <w:r>
        <w:rPr>
          <w:rFonts w:ascii="Arial" w:eastAsia="Arial" w:hAnsi="Arial" w:cs="Arial"/>
          <w:b/>
          <w:bCs/>
          <w:sz w:val="20"/>
          <w:szCs w:val="20"/>
        </w:rPr>
        <w:t>October 13, 2025</w:t>
      </w:r>
      <w:r>
        <w:rPr>
          <w:rFonts w:ascii="Arial" w:eastAsia="Arial" w:hAnsi="Arial" w:cs="Arial"/>
          <w:sz w:val="20"/>
          <w:szCs w:val="20"/>
        </w:rPr>
        <w:t>)</w:t>
      </w:r>
    </w:p>
    <w:p w14:paraId="003A1A80" w14:textId="77777777" w:rsidR="00C4460F" w:rsidRDefault="00000000">
      <w:pPr>
        <w:numPr>
          <w:ilvl w:val="0"/>
          <w:numId w:val="25"/>
        </w:numPr>
        <w:spacing w:line="276" w:lineRule="auto"/>
        <w:rPr>
          <w:rFonts w:ascii="Arial" w:eastAsia="Arial" w:hAnsi="Arial" w:cs="Arial"/>
          <w:sz w:val="20"/>
          <w:szCs w:val="20"/>
        </w:rPr>
      </w:pPr>
      <w:r>
        <w:rPr>
          <w:rFonts w:ascii="Arial" w:eastAsia="Arial" w:hAnsi="Arial" w:cs="Arial"/>
          <w:b/>
          <w:bCs/>
          <w:sz w:val="20"/>
          <w:szCs w:val="20"/>
        </w:rPr>
        <w:t>Prospectus Defense</w:t>
      </w:r>
      <w:r>
        <w:rPr>
          <w:rFonts w:ascii="Arial" w:eastAsia="Arial" w:hAnsi="Arial" w:cs="Arial"/>
          <w:sz w:val="20"/>
          <w:szCs w:val="20"/>
        </w:rPr>
        <w:t>:  completed by 7</w:t>
      </w:r>
      <w:r>
        <w:rPr>
          <w:rFonts w:ascii="Arial" w:eastAsia="Arial" w:hAnsi="Arial" w:cs="Arial"/>
          <w:sz w:val="20"/>
          <w:szCs w:val="20"/>
          <w:vertAlign w:val="superscript"/>
        </w:rPr>
        <w:t>th</w:t>
      </w:r>
      <w:r>
        <w:rPr>
          <w:rFonts w:ascii="Arial" w:eastAsia="Arial" w:hAnsi="Arial" w:cs="Arial"/>
          <w:sz w:val="20"/>
          <w:szCs w:val="20"/>
        </w:rPr>
        <w:t xml:space="preserve"> week of Fall 2028 (</w:t>
      </w:r>
      <w:r>
        <w:rPr>
          <w:rFonts w:ascii="Arial" w:eastAsia="Arial" w:hAnsi="Arial" w:cs="Arial"/>
          <w:b/>
          <w:bCs/>
          <w:sz w:val="20"/>
          <w:szCs w:val="20"/>
        </w:rPr>
        <w:t>November 10, 2025</w:t>
      </w:r>
      <w:r>
        <w:rPr>
          <w:rFonts w:ascii="Arial" w:eastAsia="Arial" w:hAnsi="Arial" w:cs="Arial"/>
          <w:sz w:val="20"/>
          <w:szCs w:val="20"/>
        </w:rPr>
        <w:t>)</w:t>
      </w:r>
    </w:p>
    <w:p w14:paraId="5017631C" w14:textId="77777777" w:rsidR="00C4460F" w:rsidRDefault="00000000">
      <w:pPr>
        <w:spacing w:line="276" w:lineRule="auto"/>
        <w:ind w:left="720" w:firstLine="20"/>
        <w:rPr>
          <w:rFonts w:ascii="Arial" w:eastAsia="Arial" w:hAnsi="Arial" w:cs="Arial"/>
          <w:sz w:val="20"/>
          <w:szCs w:val="20"/>
        </w:rPr>
      </w:pPr>
      <w:r>
        <w:rPr>
          <w:rFonts w:ascii="Arial" w:eastAsia="Arial" w:hAnsi="Arial" w:cs="Arial"/>
          <w:sz w:val="20"/>
          <w:szCs w:val="20"/>
        </w:rPr>
        <w:lastRenderedPageBreak/>
        <w:t xml:space="preserve"> </w:t>
      </w:r>
    </w:p>
    <w:p w14:paraId="2C42155F" w14:textId="77777777" w:rsidR="00C4460F" w:rsidRDefault="00000000">
      <w:pPr>
        <w:spacing w:line="276" w:lineRule="auto"/>
        <w:rPr>
          <w:rFonts w:ascii="Arial" w:eastAsia="Arial" w:hAnsi="Arial" w:cs="Arial"/>
          <w:b/>
          <w:bCs/>
          <w:sz w:val="20"/>
          <w:szCs w:val="20"/>
        </w:rPr>
      </w:pPr>
      <w:r>
        <w:rPr>
          <w:rFonts w:ascii="Arial" w:eastAsia="Arial" w:hAnsi="Arial" w:cs="Arial"/>
          <w:b/>
          <w:bCs/>
          <w:sz w:val="20"/>
          <w:szCs w:val="20"/>
        </w:rPr>
        <w:br/>
        <w:t xml:space="preserve">Year 6:      </w:t>
      </w:r>
    </w:p>
    <w:p w14:paraId="7E3AAA76" w14:textId="77777777" w:rsidR="00C4460F" w:rsidRDefault="00000000">
      <w:pPr>
        <w:numPr>
          <w:ilvl w:val="0"/>
          <w:numId w:val="26"/>
        </w:numPr>
        <w:spacing w:line="276" w:lineRule="auto"/>
        <w:rPr>
          <w:rFonts w:ascii="Arial" w:eastAsia="Arial" w:hAnsi="Arial" w:cs="Arial"/>
          <w:sz w:val="20"/>
          <w:szCs w:val="20"/>
        </w:rPr>
      </w:pPr>
      <w:r>
        <w:rPr>
          <w:rFonts w:ascii="Arial" w:eastAsia="Arial" w:hAnsi="Arial" w:cs="Arial"/>
          <w:b/>
          <w:bCs/>
          <w:sz w:val="20"/>
          <w:szCs w:val="20"/>
        </w:rPr>
        <w:t xml:space="preserve">Language Requirement </w:t>
      </w:r>
      <w:r>
        <w:rPr>
          <w:rFonts w:ascii="Arial" w:eastAsia="Arial" w:hAnsi="Arial" w:cs="Arial"/>
          <w:sz w:val="20"/>
          <w:szCs w:val="20"/>
        </w:rPr>
        <w:t>met by the date of filing the dissertation</w:t>
      </w:r>
    </w:p>
    <w:p w14:paraId="2BAA5F9D" w14:textId="77777777" w:rsidR="00C4460F" w:rsidRDefault="00000000">
      <w:pPr>
        <w:numPr>
          <w:ilvl w:val="0"/>
          <w:numId w:val="26"/>
        </w:numPr>
        <w:spacing w:line="276" w:lineRule="auto"/>
        <w:rPr>
          <w:rFonts w:ascii="Arial" w:eastAsia="Arial" w:hAnsi="Arial" w:cs="Arial"/>
          <w:sz w:val="20"/>
          <w:szCs w:val="20"/>
        </w:rPr>
      </w:pPr>
      <w:r>
        <w:rPr>
          <w:rFonts w:ascii="Arial" w:eastAsia="Arial" w:hAnsi="Arial" w:cs="Arial"/>
          <w:b/>
          <w:bCs/>
          <w:sz w:val="20"/>
          <w:szCs w:val="20"/>
        </w:rPr>
        <w:t xml:space="preserve">PhD (six years):  </w:t>
      </w:r>
      <w:r>
        <w:rPr>
          <w:rFonts w:ascii="Arial" w:eastAsia="Arial" w:hAnsi="Arial" w:cs="Arial"/>
          <w:sz w:val="20"/>
          <w:szCs w:val="20"/>
        </w:rPr>
        <w:t>completed by the end of</w:t>
      </w:r>
      <w:r>
        <w:rPr>
          <w:rFonts w:ascii="Arial" w:eastAsia="Arial" w:hAnsi="Arial" w:cs="Arial"/>
          <w:b/>
          <w:bCs/>
          <w:sz w:val="20"/>
          <w:szCs w:val="20"/>
        </w:rPr>
        <w:t xml:space="preserve"> Spring 2031</w:t>
      </w:r>
    </w:p>
    <w:p w14:paraId="4222CF58"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C793D7B" w14:textId="77777777" w:rsidR="00C4460F" w:rsidRDefault="00000000">
      <w:pPr>
        <w:pStyle w:val="Heading2"/>
        <w:spacing w:line="276" w:lineRule="auto"/>
        <w:rPr>
          <w:rFonts w:ascii="Arial" w:eastAsia="Arial" w:hAnsi="Arial" w:cs="Arial"/>
          <w:b/>
          <w:bCs/>
        </w:rPr>
      </w:pPr>
      <w:r>
        <w:rPr>
          <w:rFonts w:ascii="Arial" w:eastAsia="Arial" w:hAnsi="Arial" w:cs="Arial"/>
        </w:rPr>
        <w:t>Master’s Committee:</w:t>
      </w:r>
    </w:p>
    <w:p w14:paraId="623881B5"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trike/>
          <w:sz w:val="20"/>
          <w:szCs w:val="20"/>
        </w:rPr>
      </w:pPr>
      <w:r>
        <w:rPr>
          <w:rFonts w:ascii="Arial" w:eastAsia="Arial" w:hAnsi="Arial" w:cs="Arial"/>
          <w:color w:val="231F20"/>
          <w:sz w:val="20"/>
          <w:szCs w:val="20"/>
        </w:rPr>
        <w:t xml:space="preserve">The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committee consists of at least three UC ladder faculty members. Two members of the committee must be </w:t>
      </w:r>
      <w:proofErr w:type="gramStart"/>
      <w:r>
        <w:rPr>
          <w:rFonts w:ascii="Arial" w:eastAsia="Arial" w:hAnsi="Arial" w:cs="Arial"/>
          <w:color w:val="231F20"/>
          <w:sz w:val="20"/>
          <w:szCs w:val="20"/>
        </w:rPr>
        <w:t>ladder</w:t>
      </w:r>
      <w:proofErr w:type="gramEnd"/>
      <w:r>
        <w:rPr>
          <w:rFonts w:ascii="Arial" w:eastAsia="Arial" w:hAnsi="Arial" w:cs="Arial"/>
          <w:color w:val="231F20"/>
          <w:sz w:val="20"/>
          <w:szCs w:val="20"/>
        </w:rPr>
        <w:t xml:space="preserve"> faculty from the Film and Media Studies </w:t>
      </w:r>
      <w:proofErr w:type="gramStart"/>
      <w:r>
        <w:rPr>
          <w:rFonts w:ascii="Arial" w:eastAsia="Arial" w:hAnsi="Arial" w:cs="Arial"/>
          <w:color w:val="231F20"/>
          <w:sz w:val="20"/>
          <w:szCs w:val="20"/>
        </w:rPr>
        <w:t>Department ,</w:t>
      </w:r>
      <w:proofErr w:type="gramEnd"/>
      <w:r>
        <w:rPr>
          <w:rFonts w:ascii="Arial" w:eastAsia="Arial" w:hAnsi="Arial" w:cs="Arial"/>
          <w:color w:val="231F20"/>
          <w:sz w:val="20"/>
          <w:szCs w:val="20"/>
        </w:rPr>
        <w:t xml:space="preserve"> one of whom is appointed as chair or co-chair. An additional fourth member may be added when appropriate. The DGS, the Department Chair, and the Graduate Dean must approv</w:t>
      </w:r>
      <w:r>
        <w:rPr>
          <w:rFonts w:ascii="Arial" w:eastAsia="Arial" w:hAnsi="Arial" w:cs="Arial"/>
          <w:sz w:val="20"/>
          <w:szCs w:val="20"/>
        </w:rPr>
        <w:t xml:space="preserve">e the committee. Completion of a thesis requires the signatures of all members of the committee. Students nominate their committees through their </w:t>
      </w:r>
      <w:proofErr w:type="spellStart"/>
      <w:r>
        <w:rPr>
          <w:rFonts w:ascii="Arial" w:eastAsia="Arial" w:hAnsi="Arial" w:cs="Arial"/>
          <w:sz w:val="20"/>
          <w:szCs w:val="20"/>
        </w:rPr>
        <w:t>GradPoint</w:t>
      </w:r>
      <w:proofErr w:type="spellEnd"/>
      <w:r>
        <w:rPr>
          <w:rFonts w:ascii="Arial" w:eastAsia="Arial" w:hAnsi="Arial" w:cs="Arial"/>
          <w:sz w:val="20"/>
          <w:szCs w:val="20"/>
        </w:rPr>
        <w:t xml:space="preserve"> portal. Instructions and a video tutorial for committee nomination is found here: </w:t>
      </w:r>
      <w:hyperlink r:id="rId22" w:anchor=":~:text=Graduate%20students%20completing%20a%20master's,via%20the%20Committee%20Change%20workflow.">
        <w:r>
          <w:rPr>
            <w:rFonts w:ascii="Arial" w:eastAsia="Arial" w:hAnsi="Arial" w:cs="Arial"/>
            <w:sz w:val="20"/>
            <w:szCs w:val="20"/>
            <w:u w:val="single"/>
          </w:rPr>
          <w:t>https://www.graddiv.ucsb.edu/academic-services/committees#:~:text=Graduate%20students%20completing%20a%20master's,via%20the%20Committee%20Change%20workflow.</w:t>
        </w:r>
      </w:hyperlink>
    </w:p>
    <w:p w14:paraId="2CD4D76B"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C58F577"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Ladder faculty who </w:t>
      </w:r>
      <w:proofErr w:type="gramStart"/>
      <w:r>
        <w:rPr>
          <w:rFonts w:ascii="Arial" w:eastAsia="Arial" w:hAnsi="Arial" w:cs="Arial"/>
          <w:color w:val="231F20"/>
          <w:sz w:val="20"/>
          <w:szCs w:val="20"/>
        </w:rPr>
        <w:t>retire</w:t>
      </w:r>
      <w:proofErr w:type="gramEnd"/>
      <w:r>
        <w:rPr>
          <w:rFonts w:ascii="Arial" w:eastAsia="Arial" w:hAnsi="Arial" w:cs="Arial"/>
          <w:color w:val="231F20"/>
          <w:sz w:val="20"/>
          <w:szCs w:val="20"/>
        </w:rPr>
        <w:t xml:space="preserve"> when a student’s thesis is still being written may continue to serve on and chair the committee in question without any further approval or re-approval being needed. In instances where the faculty member retires before the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committee is nominated, the retired faculty may serve as a second or third member without special approval from the Graduate Division. Graduate Council approval is required when the faculty member who has retired is being nominated to serve as chair of a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committee. Emeriti faculty who </w:t>
      </w:r>
      <w:proofErr w:type="gramStart"/>
      <w:r>
        <w:rPr>
          <w:rFonts w:ascii="Arial" w:eastAsia="Arial" w:hAnsi="Arial" w:cs="Arial"/>
          <w:color w:val="231F20"/>
          <w:sz w:val="20"/>
          <w:szCs w:val="20"/>
        </w:rPr>
        <w:t>continue</w:t>
      </w:r>
      <w:proofErr w:type="gramEnd"/>
      <w:r>
        <w:rPr>
          <w:rFonts w:ascii="Arial" w:eastAsia="Arial" w:hAnsi="Arial" w:cs="Arial"/>
          <w:color w:val="231F20"/>
          <w:sz w:val="20"/>
          <w:szCs w:val="20"/>
        </w:rPr>
        <w:t xml:space="preserve"> as “research professors” enjoy the same committee privileges and may chair committees without special approval.</w:t>
      </w:r>
    </w:p>
    <w:p w14:paraId="7BCDCF03"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18B9ECD" w14:textId="77777777" w:rsidR="00C4460F" w:rsidRDefault="00000000">
      <w:pPr>
        <w:shd w:val="clear" w:color="auto" w:fill="FFFFFF"/>
        <w:spacing w:line="276" w:lineRule="auto"/>
        <w:jc w:val="both"/>
        <w:rPr>
          <w:rFonts w:ascii="Arial" w:eastAsia="Arial" w:hAnsi="Arial" w:cs="Arial"/>
          <w:color w:val="000000"/>
          <w:sz w:val="22"/>
          <w:szCs w:val="22"/>
          <w:u w:val="single"/>
        </w:rPr>
      </w:pPr>
      <w:r>
        <w:rPr>
          <w:rFonts w:ascii="Arial" w:eastAsia="Arial" w:hAnsi="Arial" w:cs="Arial"/>
          <w:color w:val="000000"/>
          <w:sz w:val="22"/>
          <w:szCs w:val="22"/>
          <w:u w:val="single"/>
        </w:rPr>
        <w:t xml:space="preserve">The </w:t>
      </w:r>
      <w:proofErr w:type="gramStart"/>
      <w:r>
        <w:rPr>
          <w:rFonts w:ascii="Arial" w:eastAsia="Arial" w:hAnsi="Arial" w:cs="Arial"/>
          <w:color w:val="000000"/>
          <w:sz w:val="22"/>
          <w:szCs w:val="22"/>
          <w:u w:val="single"/>
        </w:rPr>
        <w:t>Master’s</w:t>
      </w:r>
      <w:proofErr w:type="gramEnd"/>
      <w:r>
        <w:rPr>
          <w:rFonts w:ascii="Arial" w:eastAsia="Arial" w:hAnsi="Arial" w:cs="Arial"/>
          <w:color w:val="000000"/>
          <w:sz w:val="22"/>
          <w:szCs w:val="22"/>
          <w:u w:val="single"/>
        </w:rPr>
        <w:t xml:space="preserve"> Exam</w:t>
      </w:r>
    </w:p>
    <w:p w14:paraId="0457E9EE" w14:textId="77777777" w:rsidR="00C4460F" w:rsidRDefault="00000000">
      <w:pPr>
        <w:shd w:val="clear" w:color="auto" w:fill="FFFFFF"/>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In our </w:t>
      </w:r>
      <w:r>
        <w:rPr>
          <w:rFonts w:ascii="Arial" w:eastAsia="Arial" w:hAnsi="Arial" w:cs="Arial"/>
          <w:sz w:val="20"/>
          <w:szCs w:val="20"/>
        </w:rPr>
        <w:t>department</w:t>
      </w:r>
      <w:r>
        <w:rPr>
          <w:rFonts w:ascii="Arial" w:eastAsia="Arial" w:hAnsi="Arial" w:cs="Arial"/>
          <w:color w:val="000000"/>
          <w:sz w:val="20"/>
          <w:szCs w:val="20"/>
        </w:rPr>
        <w:t xml:space="preserve">, the written and oral examination for a </w:t>
      </w:r>
      <w:proofErr w:type="gramStart"/>
      <w:r>
        <w:rPr>
          <w:rFonts w:ascii="Arial" w:eastAsia="Arial" w:hAnsi="Arial" w:cs="Arial"/>
          <w:color w:val="000000"/>
          <w:sz w:val="20"/>
          <w:szCs w:val="20"/>
        </w:rPr>
        <w:t>Master’s</w:t>
      </w:r>
      <w:proofErr w:type="gramEnd"/>
      <w:r>
        <w:rPr>
          <w:rFonts w:ascii="Arial" w:eastAsia="Arial" w:hAnsi="Arial" w:cs="Arial"/>
          <w:color w:val="000000"/>
          <w:sz w:val="20"/>
          <w:szCs w:val="20"/>
        </w:rPr>
        <w:t xml:space="preserve"> degree is administered by each student’s M.A. committee. The exam will conform to the following standards:</w:t>
      </w:r>
    </w:p>
    <w:p w14:paraId="3BB5FF91" w14:textId="77777777" w:rsidR="00C4460F" w:rsidRDefault="00000000">
      <w:pPr>
        <w:numPr>
          <w:ilvl w:val="0"/>
          <w:numId w:val="9"/>
        </w:numPr>
        <w:shd w:val="clear" w:color="auto" w:fill="FFFFFF"/>
        <w:spacing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Committees </w:t>
      </w:r>
      <w:r>
        <w:rPr>
          <w:rFonts w:ascii="Arial" w:eastAsia="Arial" w:hAnsi="Arial" w:cs="Arial"/>
          <w:sz w:val="18"/>
          <w:szCs w:val="18"/>
        </w:rPr>
        <w:t>are</w:t>
      </w:r>
      <w:r>
        <w:rPr>
          <w:rFonts w:ascii="Arial" w:eastAsia="Arial" w:hAnsi="Arial" w:cs="Arial"/>
          <w:color w:val="000000"/>
          <w:sz w:val="18"/>
          <w:szCs w:val="18"/>
        </w:rPr>
        <w:t xml:space="preserve"> nominated via </w:t>
      </w:r>
      <w:proofErr w:type="spellStart"/>
      <w:r>
        <w:rPr>
          <w:rFonts w:ascii="Arial" w:eastAsia="Arial" w:hAnsi="Arial" w:cs="Arial"/>
          <w:color w:val="000000"/>
          <w:sz w:val="18"/>
          <w:szCs w:val="18"/>
        </w:rPr>
        <w:t>GradPoint</w:t>
      </w:r>
      <w:proofErr w:type="spellEnd"/>
      <w:r>
        <w:rPr>
          <w:rFonts w:ascii="Arial" w:eastAsia="Arial" w:hAnsi="Arial" w:cs="Arial"/>
          <w:color w:val="000000"/>
          <w:sz w:val="18"/>
          <w:szCs w:val="18"/>
        </w:rPr>
        <w:t xml:space="preserve"> (please see </w:t>
      </w:r>
      <w:hyperlink r:id="rId23" w:anchor="How-to">
        <w:r>
          <w:rPr>
            <w:rFonts w:ascii="Arial" w:eastAsia="Arial" w:hAnsi="Arial" w:cs="Arial"/>
            <w:color w:val="0000FF"/>
            <w:sz w:val="18"/>
            <w:szCs w:val="18"/>
            <w:u w:val="single"/>
          </w:rPr>
          <w:t>here </w:t>
        </w:r>
      </w:hyperlink>
      <w:r>
        <w:rPr>
          <w:rFonts w:ascii="Arial" w:eastAsia="Arial" w:hAnsi="Arial" w:cs="Arial"/>
          <w:color w:val="000000"/>
          <w:sz w:val="18"/>
          <w:szCs w:val="18"/>
        </w:rPr>
        <w:t>for instructions)</w:t>
      </w:r>
      <w:r>
        <w:rPr>
          <w:rFonts w:ascii="Arial" w:eastAsia="Arial" w:hAnsi="Arial" w:cs="Arial"/>
          <w:sz w:val="18"/>
          <w:szCs w:val="18"/>
        </w:rPr>
        <w:t xml:space="preserve">. Committees should be constituted by the end of the 4th week of Winter quarter, year 2. </w:t>
      </w:r>
    </w:p>
    <w:p w14:paraId="501A28AE" w14:textId="77777777" w:rsidR="00C4460F" w:rsidRDefault="00000000">
      <w:pPr>
        <w:numPr>
          <w:ilvl w:val="0"/>
          <w:numId w:val="9"/>
        </w:numPr>
        <w:shd w:val="clear" w:color="auto" w:fill="FFFFFF"/>
        <w:spacing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Candidates for the M.A. will work with the exam committee to select two papers by the student that will provide the subject of the exam. It is expected that both papers will be substantially revised and polished to approximate </w:t>
      </w:r>
      <w:r>
        <w:rPr>
          <w:rFonts w:ascii="Arial" w:eastAsia="Arial" w:hAnsi="Arial" w:cs="Arial"/>
          <w:sz w:val="18"/>
          <w:szCs w:val="18"/>
        </w:rPr>
        <w:t xml:space="preserve">a </w:t>
      </w:r>
      <w:r>
        <w:rPr>
          <w:rFonts w:ascii="Arial" w:eastAsia="Arial" w:hAnsi="Arial" w:cs="Arial"/>
          <w:color w:val="000000"/>
          <w:sz w:val="18"/>
          <w:szCs w:val="18"/>
        </w:rPr>
        <w:t xml:space="preserve">“publishable standard” </w:t>
      </w:r>
      <w:r>
        <w:rPr>
          <w:rFonts w:ascii="Arial" w:eastAsia="Arial" w:hAnsi="Arial" w:cs="Arial"/>
          <w:i/>
          <w:iCs/>
          <w:color w:val="000000"/>
          <w:sz w:val="18"/>
          <w:szCs w:val="18"/>
        </w:rPr>
        <w:t>prior to the exam</w:t>
      </w:r>
      <w:r>
        <w:rPr>
          <w:rFonts w:ascii="Arial" w:eastAsia="Arial" w:hAnsi="Arial" w:cs="Arial"/>
          <w:color w:val="000000"/>
          <w:sz w:val="18"/>
          <w:szCs w:val="18"/>
        </w:rPr>
        <w:t xml:space="preserve"> in consultation with their chair and committee.</w:t>
      </w:r>
    </w:p>
    <w:p w14:paraId="16976E3C" w14:textId="77777777" w:rsidR="00C4460F" w:rsidRDefault="00000000">
      <w:pPr>
        <w:numPr>
          <w:ilvl w:val="0"/>
          <w:numId w:val="9"/>
        </w:numPr>
        <w:shd w:val="clear" w:color="auto" w:fill="FFFFFF"/>
        <w:spacing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It is the responsibility of the student to communicate with committee members, whether individually or as a group, </w:t>
      </w:r>
      <w:r>
        <w:rPr>
          <w:rFonts w:ascii="Arial" w:eastAsia="Arial" w:hAnsi="Arial" w:cs="Arial"/>
          <w:i/>
          <w:iCs/>
          <w:color w:val="000000"/>
          <w:sz w:val="18"/>
          <w:szCs w:val="18"/>
        </w:rPr>
        <w:t>prior to the exam</w:t>
      </w:r>
      <w:r>
        <w:rPr>
          <w:rFonts w:ascii="Arial" w:eastAsia="Arial" w:hAnsi="Arial" w:cs="Arial"/>
          <w:color w:val="000000"/>
          <w:sz w:val="18"/>
          <w:szCs w:val="18"/>
        </w:rPr>
        <w:t xml:space="preserve"> to determine the date of the oral exam and the focus and direction of revisions.</w:t>
      </w:r>
    </w:p>
    <w:p w14:paraId="4A6CB12A" w14:textId="77777777" w:rsidR="00C4460F" w:rsidRDefault="00000000">
      <w:pPr>
        <w:numPr>
          <w:ilvl w:val="0"/>
          <w:numId w:val="9"/>
        </w:numPr>
        <w:shd w:val="clear" w:color="auto" w:fill="FFFFFF"/>
        <w:spacing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Candidates must provide the committee members with the revised papers that will be the subject of evaluation for the </w:t>
      </w:r>
      <w:proofErr w:type="gramStart"/>
      <w:r>
        <w:rPr>
          <w:rFonts w:ascii="Arial" w:eastAsia="Arial" w:hAnsi="Arial" w:cs="Arial"/>
          <w:color w:val="000000"/>
          <w:sz w:val="18"/>
          <w:szCs w:val="18"/>
        </w:rPr>
        <w:t>Master’s</w:t>
      </w:r>
      <w:proofErr w:type="gramEnd"/>
      <w:r>
        <w:rPr>
          <w:rFonts w:ascii="Arial" w:eastAsia="Arial" w:hAnsi="Arial" w:cs="Arial"/>
          <w:color w:val="000000"/>
          <w:sz w:val="18"/>
          <w:szCs w:val="18"/>
        </w:rPr>
        <w:t xml:space="preserve"> exam </w:t>
      </w:r>
      <w:r>
        <w:rPr>
          <w:rFonts w:ascii="Arial" w:eastAsia="Arial" w:hAnsi="Arial" w:cs="Arial"/>
          <w:i/>
          <w:iCs/>
          <w:color w:val="000000"/>
          <w:sz w:val="18"/>
          <w:szCs w:val="18"/>
        </w:rPr>
        <w:t>no later than two weeks prior to the exam date</w:t>
      </w:r>
      <w:r>
        <w:rPr>
          <w:rFonts w:ascii="Arial" w:eastAsia="Arial" w:hAnsi="Arial" w:cs="Arial"/>
          <w:color w:val="000000"/>
          <w:sz w:val="18"/>
          <w:szCs w:val="18"/>
        </w:rPr>
        <w:t>.</w:t>
      </w:r>
    </w:p>
    <w:p w14:paraId="46D56908" w14:textId="77777777" w:rsidR="00C4460F" w:rsidRDefault="00000000">
      <w:pPr>
        <w:numPr>
          <w:ilvl w:val="0"/>
          <w:numId w:val="9"/>
        </w:numPr>
        <w:shd w:val="clear" w:color="auto" w:fill="FFFFFF"/>
        <w:spacing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The duration of the exam </w:t>
      </w:r>
      <w:r>
        <w:rPr>
          <w:rFonts w:ascii="Arial" w:eastAsia="Arial" w:hAnsi="Arial" w:cs="Arial"/>
          <w:sz w:val="18"/>
          <w:szCs w:val="18"/>
        </w:rPr>
        <w:t xml:space="preserve">is </w:t>
      </w:r>
      <w:r>
        <w:rPr>
          <w:rFonts w:ascii="Arial" w:eastAsia="Arial" w:hAnsi="Arial" w:cs="Arial"/>
          <w:color w:val="000000"/>
          <w:sz w:val="18"/>
          <w:szCs w:val="18"/>
        </w:rPr>
        <w:t>two hours. The exam has two parts: an initial formal presentation by the student of approximately 20-30 minutes</w:t>
      </w:r>
      <w:r>
        <w:rPr>
          <w:rFonts w:ascii="Arial" w:eastAsia="Arial" w:hAnsi="Arial" w:cs="Arial"/>
          <w:sz w:val="18"/>
          <w:szCs w:val="18"/>
        </w:rPr>
        <w:t>,</w:t>
      </w:r>
      <w:r>
        <w:rPr>
          <w:rFonts w:ascii="Arial" w:eastAsia="Arial" w:hAnsi="Arial" w:cs="Arial"/>
          <w:color w:val="000000"/>
          <w:sz w:val="18"/>
          <w:szCs w:val="18"/>
        </w:rPr>
        <w:t xml:space="preserve"> followed by questions from the committee and responses by the student.</w:t>
      </w:r>
    </w:p>
    <w:p w14:paraId="042B2A68" w14:textId="77777777" w:rsidR="00C4460F" w:rsidRDefault="00000000">
      <w:pPr>
        <w:numPr>
          <w:ilvl w:val="0"/>
          <w:numId w:val="9"/>
        </w:numPr>
        <w:shd w:val="clear" w:color="auto" w:fill="FFFFFF"/>
        <w:spacing w:line="276" w:lineRule="auto"/>
        <w:jc w:val="both"/>
        <w:rPr>
          <w:rFonts w:ascii="Arial" w:eastAsia="Arial" w:hAnsi="Arial" w:cs="Arial"/>
          <w:color w:val="000000"/>
          <w:sz w:val="18"/>
          <w:szCs w:val="18"/>
        </w:rPr>
      </w:pPr>
      <w:r>
        <w:rPr>
          <w:rFonts w:ascii="Arial" w:eastAsia="Arial" w:hAnsi="Arial" w:cs="Arial"/>
          <w:color w:val="000000"/>
          <w:sz w:val="18"/>
          <w:szCs w:val="18"/>
        </w:rPr>
        <w:t>Candidates will be expected to discuss the subject matter of each paper and its context within the field. The student will not read aloud his or her papers as part of the exam, nor simply repeat ideas in the papers, since it is assumed that the essays will have been read in advance by committee members. The student’s presentation should reflect on the larger issues raised by the two papers, discuss them in the context of research in the field, and address the possibilities for further research.</w:t>
      </w:r>
    </w:p>
    <w:p w14:paraId="07068ABC" w14:textId="77777777" w:rsidR="00C4460F" w:rsidRDefault="00000000">
      <w:pPr>
        <w:numPr>
          <w:ilvl w:val="0"/>
          <w:numId w:val="9"/>
        </w:numPr>
        <w:shd w:val="clear" w:color="auto" w:fill="FFFFFF"/>
        <w:spacing w:line="276" w:lineRule="auto"/>
        <w:jc w:val="both"/>
        <w:rPr>
          <w:rFonts w:ascii="Arial" w:eastAsia="Arial" w:hAnsi="Arial" w:cs="Arial"/>
          <w:i/>
          <w:iCs/>
          <w:color w:val="000000"/>
          <w:sz w:val="18"/>
          <w:szCs w:val="18"/>
        </w:rPr>
      </w:pPr>
      <w:proofErr w:type="gramStart"/>
      <w:r>
        <w:rPr>
          <w:rFonts w:ascii="Arial" w:eastAsia="Arial" w:hAnsi="Arial" w:cs="Arial"/>
          <w:color w:val="000000"/>
          <w:sz w:val="18"/>
          <w:szCs w:val="18"/>
        </w:rPr>
        <w:t>All of</w:t>
      </w:r>
      <w:proofErr w:type="gramEnd"/>
      <w:r>
        <w:rPr>
          <w:rFonts w:ascii="Arial" w:eastAsia="Arial" w:hAnsi="Arial" w:cs="Arial"/>
          <w:color w:val="000000"/>
          <w:sz w:val="18"/>
          <w:szCs w:val="18"/>
        </w:rPr>
        <w:t xml:space="preserve"> the candidates must have completed their exams </w:t>
      </w:r>
      <w:r>
        <w:rPr>
          <w:rFonts w:ascii="Arial" w:eastAsia="Arial" w:hAnsi="Arial" w:cs="Arial"/>
          <w:i/>
          <w:iCs/>
          <w:color w:val="000000"/>
          <w:sz w:val="18"/>
          <w:szCs w:val="18"/>
        </w:rPr>
        <w:t xml:space="preserve">by the end of the fourth week of Spring quarter of </w:t>
      </w:r>
      <w:proofErr w:type="gramStart"/>
      <w:r>
        <w:rPr>
          <w:rFonts w:ascii="Arial" w:eastAsia="Arial" w:hAnsi="Arial" w:cs="Arial"/>
          <w:i/>
          <w:iCs/>
          <w:color w:val="000000"/>
          <w:sz w:val="18"/>
          <w:szCs w:val="18"/>
        </w:rPr>
        <w:t>their  second</w:t>
      </w:r>
      <w:proofErr w:type="gramEnd"/>
      <w:r>
        <w:rPr>
          <w:rFonts w:ascii="Arial" w:eastAsia="Arial" w:hAnsi="Arial" w:cs="Arial"/>
          <w:i/>
          <w:iCs/>
          <w:color w:val="000000"/>
          <w:sz w:val="18"/>
          <w:szCs w:val="18"/>
        </w:rPr>
        <w:t xml:space="preserve"> year.</w:t>
      </w:r>
    </w:p>
    <w:p w14:paraId="2105158E" w14:textId="77777777" w:rsidR="00C4460F" w:rsidRDefault="00000000">
      <w:pPr>
        <w:numPr>
          <w:ilvl w:val="0"/>
          <w:numId w:val="9"/>
        </w:numPr>
        <w:shd w:val="clear" w:color="auto" w:fill="FFFFFF"/>
        <w:spacing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The student will be informed of the results of his or her exam at the end of the exam. There are three outcomes: Pass, Fail, and Revisions Required. A student who does not pass the exam or who is required to further revise essays, must resubmit papers to the committee </w:t>
      </w:r>
      <w:r>
        <w:rPr>
          <w:rFonts w:ascii="Arial" w:eastAsia="Arial" w:hAnsi="Arial" w:cs="Arial"/>
          <w:i/>
          <w:iCs/>
          <w:color w:val="000000"/>
          <w:sz w:val="18"/>
          <w:szCs w:val="18"/>
        </w:rPr>
        <w:t>within six weeks of the date of the exam</w:t>
      </w:r>
      <w:r>
        <w:rPr>
          <w:rFonts w:ascii="Arial" w:eastAsia="Arial" w:hAnsi="Arial" w:cs="Arial"/>
          <w:color w:val="000000"/>
          <w:sz w:val="18"/>
          <w:szCs w:val="18"/>
        </w:rPr>
        <w:t xml:space="preserve">. </w:t>
      </w:r>
    </w:p>
    <w:p w14:paraId="5B18B875" w14:textId="77777777" w:rsidR="00C4460F" w:rsidRDefault="00000000">
      <w:pPr>
        <w:numPr>
          <w:ilvl w:val="0"/>
          <w:numId w:val="9"/>
        </w:numPr>
        <w:shd w:val="clear" w:color="auto" w:fill="FFFFFF"/>
        <w:spacing w:line="276" w:lineRule="auto"/>
        <w:jc w:val="both"/>
        <w:rPr>
          <w:rFonts w:ascii="Arial" w:eastAsia="Arial" w:hAnsi="Arial" w:cs="Arial"/>
          <w:color w:val="000000"/>
          <w:sz w:val="18"/>
          <w:szCs w:val="18"/>
        </w:rPr>
      </w:pPr>
      <w:r>
        <w:rPr>
          <w:rFonts w:ascii="Arial" w:eastAsia="Arial" w:hAnsi="Arial" w:cs="Arial"/>
          <w:color w:val="000000"/>
          <w:sz w:val="18"/>
          <w:szCs w:val="18"/>
        </w:rPr>
        <w:lastRenderedPageBreak/>
        <w:t>Students who complete the M.A. work and pass the oral exam with sufficient distinction will be invited to continue working toward the Ph.D.</w:t>
      </w:r>
    </w:p>
    <w:p w14:paraId="5E695278" w14:textId="77777777" w:rsidR="00C4460F" w:rsidRDefault="00C4460F">
      <w:pPr>
        <w:shd w:val="clear" w:color="auto" w:fill="FFFFFF"/>
        <w:spacing w:line="276" w:lineRule="auto"/>
        <w:jc w:val="both"/>
        <w:rPr>
          <w:rFonts w:ascii="Arial" w:eastAsia="Arial" w:hAnsi="Arial" w:cs="Arial"/>
          <w:color w:val="000000"/>
          <w:sz w:val="20"/>
          <w:szCs w:val="20"/>
        </w:rPr>
      </w:pPr>
    </w:p>
    <w:p w14:paraId="098DAA00" w14:textId="77777777" w:rsidR="00C4460F" w:rsidRDefault="00000000">
      <w:pPr>
        <w:shd w:val="clear" w:color="auto" w:fill="FFFFFF"/>
        <w:spacing w:line="276" w:lineRule="auto"/>
        <w:jc w:val="both"/>
        <w:rPr>
          <w:rFonts w:ascii="Arial" w:eastAsia="Arial" w:hAnsi="Arial" w:cs="Arial"/>
          <w:color w:val="231F20"/>
          <w:sz w:val="22"/>
          <w:szCs w:val="22"/>
          <w:u w:val="single"/>
        </w:rPr>
      </w:pPr>
      <w:r>
        <w:rPr>
          <w:rFonts w:ascii="Arial" w:eastAsia="Arial" w:hAnsi="Arial" w:cs="Arial"/>
          <w:color w:val="231F20"/>
          <w:sz w:val="22"/>
          <w:szCs w:val="22"/>
          <w:u w:val="single"/>
        </w:rPr>
        <w:br/>
        <w:t xml:space="preserve">Maximum Time/Normative Time for the </w:t>
      </w:r>
      <w:proofErr w:type="gramStart"/>
      <w:r>
        <w:rPr>
          <w:rFonts w:ascii="Arial" w:eastAsia="Arial" w:hAnsi="Arial" w:cs="Arial"/>
          <w:color w:val="231F20"/>
          <w:sz w:val="22"/>
          <w:szCs w:val="22"/>
          <w:u w:val="single"/>
        </w:rPr>
        <w:t>Master’s Degree</w:t>
      </w:r>
      <w:proofErr w:type="gramEnd"/>
    </w:p>
    <w:p w14:paraId="1ABF84C4" w14:textId="77777777" w:rsidR="00C4460F" w:rsidRDefault="00000000">
      <w:pPr>
        <w:shd w:val="clear" w:color="auto" w:fill="FFFFFF"/>
        <w:spacing w:after="280" w:line="276" w:lineRule="auto"/>
        <w:jc w:val="both"/>
        <w:rPr>
          <w:rFonts w:ascii="Arial" w:eastAsia="Arial" w:hAnsi="Arial" w:cs="Arial"/>
          <w:color w:val="000000"/>
          <w:sz w:val="20"/>
          <w:szCs w:val="20"/>
          <w:u w:val="single"/>
        </w:rPr>
      </w:pPr>
      <w:r>
        <w:rPr>
          <w:rFonts w:ascii="Arial" w:eastAsia="Arial" w:hAnsi="Arial" w:cs="Arial"/>
          <w:color w:val="231F20"/>
          <w:sz w:val="20"/>
          <w:szCs w:val="20"/>
        </w:rPr>
        <w:t xml:space="preserve">The normative time for completion of the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degree in the Film and Media Studies Department is 7 quarters. The maximum time allowed for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degree candidates in all fields to complete their degree requirements is 4 years. The University’s 4-year degree deadline for a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degree is distinct from an individual academic department’s average or normative time for completion of a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degree. Normative time is the number of years considered to be reasonable for completion of a particular program by a full-time student who enters the program without academic deficiencies. The Department will enforce these rules and approve exceptions only under unusual circumstances.</w:t>
      </w:r>
    </w:p>
    <w:p w14:paraId="4055009C"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If you exceed the 4-year maximum before completion of the requirements for the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degree, you must petition the Graduate Council for a degree deadline extension. Graduate Council is concerned that degrees be granted only to students who are current in the scholarship of their fields, and who have kept abreast of the literature and research in the discipline. The nature of the petition depends on the length of time by which the degree deadline has been exceeded. If the degree deadline has been exceeded by less than two years, a Graduate Student Petition requesting the extension, endorsed and signed by the Graduate Advisor, must be submitted. Approval of such petitions will typically be routine. If the deadline has been exceeded by more than two years, a Graduate Student Petition requesting the extension, endorsed and signed by the Graduate Advisor must be submitted and must be accompanied by a memo documenting and certifying currency in the field, signed by all members of the thesis committee. Graduate Council has identified continuous registration, teaching or research apprenticeships, or contact with current literature and research in the field as examples of currency. If additional information is needed, Graduate Division will contact the Graduate Advisor. Approval of such petitions may be considered by the Chair of Graduate Council or referred for inclusion on the Graduate Council agenda as necessary. Petitions are available from the Graduate Division, or can be downloaded at: </w:t>
      </w:r>
    </w:p>
    <w:p w14:paraId="18053D5C"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24">
        <w:r>
          <w:rPr>
            <w:rFonts w:ascii="Arial" w:eastAsia="Arial" w:hAnsi="Arial" w:cs="Arial"/>
            <w:color w:val="0000FF"/>
            <w:sz w:val="20"/>
            <w:szCs w:val="20"/>
            <w:u w:val="single"/>
          </w:rPr>
          <w:t>https://www.graddiv.ucsb.edu/academic-services/forms-petitions</w:t>
        </w:r>
      </w:hyperlink>
    </w:p>
    <w:p w14:paraId="1C0FC05A" w14:textId="77777777" w:rsidR="00C4460F" w:rsidRDefault="00C4460F">
      <w:pPr>
        <w:pStyle w:val="Heading2"/>
        <w:spacing w:line="276" w:lineRule="auto"/>
        <w:rPr>
          <w:rFonts w:ascii="Arial" w:eastAsia="Arial" w:hAnsi="Arial" w:cs="Arial"/>
        </w:rPr>
      </w:pPr>
      <w:bookmarkStart w:id="30" w:name="_heading=h.ei7lfagoiefn" w:colFirst="0" w:colLast="0"/>
      <w:bookmarkEnd w:id="30"/>
    </w:p>
    <w:p w14:paraId="2352EC94" w14:textId="77777777" w:rsidR="00C4460F" w:rsidRDefault="00000000">
      <w:pPr>
        <w:pStyle w:val="Heading2"/>
        <w:spacing w:line="276" w:lineRule="auto"/>
        <w:rPr>
          <w:rFonts w:ascii="Arial" w:eastAsia="Arial" w:hAnsi="Arial" w:cs="Arial"/>
          <w:b/>
          <w:bCs/>
        </w:rPr>
      </w:pPr>
      <w:r>
        <w:rPr>
          <w:rFonts w:ascii="Arial" w:eastAsia="Arial" w:hAnsi="Arial" w:cs="Arial"/>
        </w:rPr>
        <w:t>8th Quarter Justification</w:t>
      </w:r>
    </w:p>
    <w:p w14:paraId="3F4A9FDD"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All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students who have not finished by the 8th quarter will be required to file a justification with the department, signed by their thesis advisor, which includes a timetable for completion of the thesis. If a justification is not filed and approved, the student will be switched to the examination route and will then be given the exam during the 9th quarter.</w:t>
      </w:r>
    </w:p>
    <w:p w14:paraId="2CE3C0AC"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86342BA" w14:textId="77777777" w:rsidR="00C4460F" w:rsidRDefault="00000000">
      <w:pPr>
        <w:pStyle w:val="Heading2"/>
        <w:spacing w:line="276" w:lineRule="auto"/>
        <w:rPr>
          <w:rFonts w:ascii="Arial" w:eastAsia="Arial" w:hAnsi="Arial" w:cs="Arial"/>
          <w:b/>
          <w:bCs/>
        </w:rPr>
      </w:pPr>
      <w:bookmarkStart w:id="31" w:name="_heading=h.lj7iparkjuml" w:colFirst="0" w:colLast="0"/>
      <w:bookmarkEnd w:id="31"/>
      <w:r>
        <w:rPr>
          <w:rFonts w:ascii="Arial" w:eastAsia="Arial" w:hAnsi="Arial" w:cs="Arial"/>
        </w:rPr>
        <w:t xml:space="preserve">Financial Support as a </w:t>
      </w:r>
      <w:proofErr w:type="gramStart"/>
      <w:r>
        <w:rPr>
          <w:rFonts w:ascii="Arial" w:eastAsia="Arial" w:hAnsi="Arial" w:cs="Arial"/>
        </w:rPr>
        <w:t>Master’s</w:t>
      </w:r>
      <w:proofErr w:type="gramEnd"/>
      <w:r>
        <w:rPr>
          <w:rFonts w:ascii="Arial" w:eastAsia="Arial" w:hAnsi="Arial" w:cs="Arial"/>
        </w:rPr>
        <w:t xml:space="preserve"> Student and Standard of Scholarship</w:t>
      </w:r>
    </w:p>
    <w:p w14:paraId="5303B4E8"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Financial support for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students on departmental funds (e.g. Teaching Assistantships, Fellowships) beyond four quarters is contingent upon progress and performance. For any student enrolled in the Film and Media Studies M.A./Ph.D. program, a GPA of less than 3.3 or a grade of C+ or less in Film and Media Studies graduate courses may cause departmental financial support to be withdrawn.</w:t>
      </w:r>
    </w:p>
    <w:p w14:paraId="5040123B"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5083521" w14:textId="77777777" w:rsidR="00C4460F" w:rsidRDefault="00000000">
      <w:pPr>
        <w:pStyle w:val="Heading3"/>
        <w:tabs>
          <w:tab w:val="right" w:pos="720"/>
        </w:tabs>
        <w:spacing w:line="276" w:lineRule="auto"/>
        <w:ind w:left="0"/>
        <w:jc w:val="both"/>
        <w:rPr>
          <w:rFonts w:ascii="Arial" w:eastAsia="Arial" w:hAnsi="Arial" w:cs="Arial"/>
          <w:b w:val="0"/>
          <w:bCs w:val="0"/>
          <w:sz w:val="22"/>
          <w:szCs w:val="22"/>
          <w:u w:val="single"/>
        </w:rPr>
      </w:pPr>
      <w:bookmarkStart w:id="32" w:name="_heading=h.f2rnfu34jl2v" w:colFirst="0" w:colLast="0"/>
      <w:bookmarkEnd w:id="32"/>
      <w:r>
        <w:rPr>
          <w:rFonts w:ascii="Arial" w:eastAsia="Arial" w:hAnsi="Arial" w:cs="Arial"/>
          <w:b w:val="0"/>
          <w:bCs w:val="0"/>
          <w:color w:val="231F20"/>
          <w:sz w:val="22"/>
          <w:szCs w:val="22"/>
          <w:u w:val="single"/>
        </w:rPr>
        <w:t xml:space="preserve">Residency Requirement for the </w:t>
      </w:r>
      <w:proofErr w:type="gramStart"/>
      <w:r>
        <w:rPr>
          <w:rFonts w:ascii="Arial" w:eastAsia="Arial" w:hAnsi="Arial" w:cs="Arial"/>
          <w:b w:val="0"/>
          <w:bCs w:val="0"/>
          <w:color w:val="231F20"/>
          <w:sz w:val="22"/>
          <w:szCs w:val="22"/>
          <w:u w:val="single"/>
        </w:rPr>
        <w:t>Master’s Degree</w:t>
      </w:r>
      <w:proofErr w:type="gramEnd"/>
    </w:p>
    <w:p w14:paraId="66EB08B4"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Students in a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program must spend a minimum of three quarters in full-time residence at UCSB. </w:t>
      </w:r>
    </w:p>
    <w:p w14:paraId="61B9D9CC" w14:textId="77777777" w:rsidR="00C4460F" w:rsidRDefault="00C4460F">
      <w:pPr>
        <w:pStyle w:val="Heading2"/>
        <w:spacing w:line="276" w:lineRule="auto"/>
        <w:rPr>
          <w:rFonts w:ascii="Arial" w:eastAsia="Arial" w:hAnsi="Arial" w:cs="Arial"/>
        </w:rPr>
      </w:pPr>
    </w:p>
    <w:p w14:paraId="31E56357" w14:textId="77777777" w:rsidR="00C4460F" w:rsidRDefault="00000000">
      <w:pPr>
        <w:pStyle w:val="Heading2"/>
        <w:spacing w:line="276" w:lineRule="auto"/>
        <w:rPr>
          <w:rFonts w:ascii="Arial" w:eastAsia="Arial" w:hAnsi="Arial" w:cs="Arial"/>
          <w:b/>
          <w:bCs/>
        </w:rPr>
      </w:pPr>
      <w:bookmarkStart w:id="33" w:name="_heading=h.y8x3alwm762o" w:colFirst="0" w:colLast="0"/>
      <w:bookmarkEnd w:id="33"/>
      <w:r>
        <w:rPr>
          <w:rFonts w:ascii="Arial" w:eastAsia="Arial" w:hAnsi="Arial" w:cs="Arial"/>
        </w:rPr>
        <w:t>Master’s Degree—Forms and Bureaucratic Procedures</w:t>
      </w:r>
    </w:p>
    <w:p w14:paraId="4820E097"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Many of the required forms can be found at: </w:t>
      </w:r>
    </w:p>
    <w:p w14:paraId="3054CE7C"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25">
        <w:r>
          <w:rPr>
            <w:rFonts w:ascii="Arial" w:eastAsia="Arial" w:hAnsi="Arial" w:cs="Arial"/>
            <w:color w:val="0000FF"/>
            <w:sz w:val="20"/>
            <w:szCs w:val="20"/>
            <w:u w:val="single"/>
          </w:rPr>
          <w:t>https://www.graddiv.ucsb.edu/academic-services/forms-petitions</w:t>
        </w:r>
      </w:hyperlink>
    </w:p>
    <w:p w14:paraId="4082256B"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lastRenderedPageBreak/>
        <w:t xml:space="preserve"> </w:t>
      </w:r>
    </w:p>
    <w:p w14:paraId="5BE24074" w14:textId="77777777" w:rsidR="00C4460F" w:rsidRDefault="00000000">
      <w:pPr>
        <w:tabs>
          <w:tab w:val="right" w:pos="720"/>
        </w:tabs>
        <w:spacing w:line="276" w:lineRule="auto"/>
        <w:jc w:val="both"/>
        <w:rPr>
          <w:rFonts w:ascii="Arial" w:eastAsia="Arial" w:hAnsi="Arial" w:cs="Arial"/>
          <w:color w:val="231F20"/>
          <w:sz w:val="22"/>
          <w:szCs w:val="22"/>
          <w:u w:val="single"/>
        </w:rPr>
      </w:pPr>
      <w:r>
        <w:rPr>
          <w:rFonts w:ascii="Arial" w:eastAsia="Arial" w:hAnsi="Arial" w:cs="Arial"/>
          <w:color w:val="231F20"/>
          <w:sz w:val="22"/>
          <w:szCs w:val="22"/>
          <w:u w:val="single"/>
        </w:rPr>
        <w:br/>
        <w:t>Filing Fee</w:t>
      </w:r>
    </w:p>
    <w:p w14:paraId="11CF8007" w14:textId="77777777" w:rsidR="00C4460F" w:rsidRDefault="00000000">
      <w:pPr>
        <w:tabs>
          <w:tab w:val="right" w:pos="720"/>
        </w:tabs>
        <w:spacing w:line="276" w:lineRule="auto"/>
        <w:jc w:val="both"/>
        <w:rPr>
          <w:rFonts w:ascii="Arial" w:eastAsia="Arial" w:hAnsi="Arial" w:cs="Arial"/>
          <w:sz w:val="20"/>
          <w:szCs w:val="20"/>
        </w:rPr>
      </w:pPr>
      <w:r>
        <w:rPr>
          <w:rFonts w:ascii="Arial" w:eastAsia="Arial" w:hAnsi="Arial" w:cs="Arial"/>
          <w:color w:val="231F20"/>
          <w:sz w:val="20"/>
          <w:szCs w:val="20"/>
        </w:rPr>
        <w:t xml:space="preserve">All graduating students must be in a fee relationship with the university, that is, either registered or using the filing fee. The filing fee is a reduced fee paid instead of full registration fees during the quarter a student is completing the last requirements for a degree and is equal to half of the “registration fee.” If you are registered during the quarter in which you plan to complete and graduate, then you do NOT have to pay a filing fee when you file your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or dissertation because you are already in a fee relationship with the university. If you are not registered (on leave of absence or lapsed status), you must pay the filing fee when you file. If you finish during the summer and you were enrolled during the previous Spring Quarter, you do not have to pay the filing fee because your enrollment status technically lasts until the day before the next regular academic quarter begins (i.e., the day before Fall Quarter begins).</w:t>
      </w:r>
    </w:p>
    <w:p w14:paraId="606F56DF" w14:textId="77777777" w:rsidR="00C4460F" w:rsidRDefault="00C4460F">
      <w:pPr>
        <w:pStyle w:val="Heading2"/>
        <w:spacing w:line="276" w:lineRule="auto"/>
        <w:rPr>
          <w:rFonts w:ascii="Arial" w:eastAsia="Arial" w:hAnsi="Arial" w:cs="Arial"/>
        </w:rPr>
      </w:pPr>
    </w:p>
    <w:p w14:paraId="2A648A0C" w14:textId="77777777" w:rsidR="00C4460F" w:rsidRDefault="00000000">
      <w:pPr>
        <w:pStyle w:val="Heading2"/>
        <w:spacing w:line="276" w:lineRule="auto"/>
        <w:rPr>
          <w:rFonts w:ascii="Arial" w:eastAsia="Arial" w:hAnsi="Arial" w:cs="Arial"/>
          <w:b/>
          <w:bCs/>
        </w:rPr>
      </w:pPr>
      <w:bookmarkStart w:id="34" w:name="_heading=h.oawcbq4fegvd" w:colFirst="0" w:colLast="0"/>
      <w:bookmarkEnd w:id="34"/>
      <w:r>
        <w:rPr>
          <w:rFonts w:ascii="Arial" w:eastAsia="Arial" w:hAnsi="Arial" w:cs="Arial"/>
        </w:rPr>
        <w:t xml:space="preserve">Transfer from M.A./ Continuation into the </w:t>
      </w:r>
      <w:proofErr w:type="spellStart"/>
      <w:proofErr w:type="gramStart"/>
      <w:r>
        <w:rPr>
          <w:rFonts w:ascii="Arial" w:eastAsia="Arial" w:hAnsi="Arial" w:cs="Arial"/>
        </w:rPr>
        <w:t>Ph.D</w:t>
      </w:r>
      <w:proofErr w:type="spellEnd"/>
      <w:proofErr w:type="gramEnd"/>
      <w:r>
        <w:rPr>
          <w:rFonts w:ascii="Arial" w:eastAsia="Arial" w:hAnsi="Arial" w:cs="Arial"/>
        </w:rPr>
        <w:t xml:space="preserve"> program</w:t>
      </w:r>
    </w:p>
    <w:p w14:paraId="6E10AA73"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bookmarkStart w:id="35" w:name="_heading=h.bthe3iaemu" w:colFirst="0" w:colLast="0"/>
      <w:bookmarkEnd w:id="35"/>
      <w:r>
        <w:rPr>
          <w:rFonts w:ascii="Arial" w:eastAsia="Arial" w:hAnsi="Arial" w:cs="Arial"/>
          <w:color w:val="231F20"/>
          <w:sz w:val="20"/>
          <w:szCs w:val="20"/>
        </w:rPr>
        <w:t xml:space="preserve">Upon completion of the requirements for the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degree, the student’s faculty examination committee in consultation with the Director of Graduate Studies determines whether the candidate may continue into the Ph.D. program. The faculty committee may conclude that the student must rewrite one or two of the papers before advancing. In certain cases, a Terminal M.A. degree may be awarded in lieu of advancing into the Ph.D. program. Once the petition to continue onto the Ph.D. program has been signed and approved, the Graduate Program Assistant/Advisor will officially notify the Graduate Division of the candidate’s acceptance into the Film and Media Studies Ph.D. program.</w:t>
      </w:r>
    </w:p>
    <w:p w14:paraId="1067F18B"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bookmarkStart w:id="36" w:name="_heading=h.q3e90fgnhpgv" w:colFirst="0" w:colLast="0"/>
      <w:bookmarkEnd w:id="36"/>
    </w:p>
    <w:p w14:paraId="7EAA2D65" w14:textId="77777777" w:rsidR="00C4460F" w:rsidRDefault="00000000">
      <w:pPr>
        <w:widowControl w:val="0"/>
        <w:tabs>
          <w:tab w:val="right" w:leader="dot" w:pos="9350"/>
        </w:tabs>
        <w:spacing w:before="181" w:line="276" w:lineRule="auto"/>
        <w:rPr>
          <w:rFonts w:ascii="Arial" w:eastAsia="Arial" w:hAnsi="Arial" w:cs="Arial"/>
          <w:color w:val="231F20"/>
          <w:sz w:val="22"/>
          <w:szCs w:val="22"/>
        </w:rPr>
      </w:pPr>
      <w:hyperlink w:anchor="_heading=h.bthe3iaemu">
        <w:r>
          <w:rPr>
            <w:rFonts w:ascii="Arial" w:eastAsia="Arial" w:hAnsi="Arial" w:cs="Arial"/>
          </w:rPr>
          <w:t>DOCTOR OF PHILOSOPHY (PH.D.) IN FILM AND MEDIA STUDIES</w:t>
        </w:r>
      </w:hyperlink>
    </w:p>
    <w:p w14:paraId="619C7BF8"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2"/>
          <w:szCs w:val="22"/>
          <w:u w:val="single"/>
        </w:rPr>
      </w:pPr>
      <w:bookmarkStart w:id="37" w:name="_heading=h.wchdpxdhqj03" w:colFirst="0" w:colLast="0"/>
      <w:bookmarkEnd w:id="37"/>
    </w:p>
    <w:p w14:paraId="4B4CB1BC" w14:textId="77777777" w:rsidR="00C4460F" w:rsidRDefault="00000000">
      <w:pPr>
        <w:widowControl w:val="0"/>
        <w:tabs>
          <w:tab w:val="right" w:pos="720"/>
        </w:tabs>
        <w:spacing w:line="276" w:lineRule="auto"/>
        <w:ind w:right="117"/>
        <w:rPr>
          <w:rFonts w:ascii="Arial" w:eastAsia="Arial" w:hAnsi="Arial" w:cs="Arial"/>
          <w:color w:val="231F20"/>
          <w:sz w:val="22"/>
          <w:szCs w:val="22"/>
          <w:u w:val="single"/>
        </w:rPr>
      </w:pPr>
      <w:bookmarkStart w:id="38" w:name="_heading=h.zr45gie6y36" w:colFirst="0" w:colLast="0"/>
      <w:bookmarkEnd w:id="38"/>
      <w:r>
        <w:rPr>
          <w:rFonts w:ascii="Arial" w:eastAsia="Arial" w:hAnsi="Arial" w:cs="Arial"/>
          <w:color w:val="231F20"/>
          <w:sz w:val="22"/>
          <w:szCs w:val="22"/>
          <w:u w:val="single"/>
        </w:rPr>
        <w:t>Important Dates and Milestones for On-Time Progress (</w:t>
      </w:r>
      <w:proofErr w:type="spellStart"/>
      <w:proofErr w:type="gramStart"/>
      <w:r>
        <w:rPr>
          <w:rFonts w:ascii="Arial" w:eastAsia="Arial" w:hAnsi="Arial" w:cs="Arial"/>
          <w:color w:val="231F20"/>
          <w:sz w:val="22"/>
          <w:szCs w:val="22"/>
          <w:u w:val="single"/>
        </w:rPr>
        <w:t>Ph.D</w:t>
      </w:r>
      <w:proofErr w:type="spellEnd"/>
      <w:proofErr w:type="gramEnd"/>
      <w:r>
        <w:rPr>
          <w:rFonts w:ascii="Arial" w:eastAsia="Arial" w:hAnsi="Arial" w:cs="Arial"/>
          <w:color w:val="231F20"/>
          <w:sz w:val="22"/>
          <w:szCs w:val="22"/>
          <w:u w:val="single"/>
        </w:rPr>
        <w:t>) (enter: Fall 2025)</w:t>
      </w:r>
    </w:p>
    <w:p w14:paraId="584B4E90"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2"/>
          <w:szCs w:val="22"/>
          <w:u w:val="single"/>
        </w:rPr>
      </w:pPr>
      <w:bookmarkStart w:id="39" w:name="_heading=h.grt8syx52mec" w:colFirst="0" w:colLast="0"/>
      <w:bookmarkEnd w:id="39"/>
    </w:p>
    <w:p w14:paraId="5C11DF46" w14:textId="77777777" w:rsidR="00C4460F" w:rsidRDefault="00000000">
      <w:pPr>
        <w:spacing w:line="276" w:lineRule="auto"/>
        <w:rPr>
          <w:rFonts w:ascii="Arial" w:eastAsia="Arial" w:hAnsi="Arial" w:cs="Arial"/>
          <w:b/>
          <w:bCs/>
          <w:sz w:val="20"/>
          <w:szCs w:val="20"/>
        </w:rPr>
      </w:pPr>
      <w:r>
        <w:rPr>
          <w:rFonts w:ascii="Arial" w:eastAsia="Arial" w:hAnsi="Arial" w:cs="Arial"/>
          <w:b/>
          <w:bCs/>
          <w:sz w:val="20"/>
          <w:szCs w:val="20"/>
        </w:rPr>
        <w:t xml:space="preserve">Year 2:       </w:t>
      </w:r>
    </w:p>
    <w:p w14:paraId="34AF6F06" w14:textId="77777777" w:rsidR="00C4460F" w:rsidRDefault="00000000">
      <w:pPr>
        <w:numPr>
          <w:ilvl w:val="0"/>
          <w:numId w:val="2"/>
        </w:numPr>
        <w:spacing w:line="276" w:lineRule="auto"/>
        <w:rPr>
          <w:rFonts w:ascii="Arial" w:eastAsia="Arial" w:hAnsi="Arial" w:cs="Arial"/>
          <w:sz w:val="20"/>
          <w:szCs w:val="20"/>
        </w:rPr>
      </w:pPr>
      <w:r>
        <w:rPr>
          <w:rFonts w:ascii="Arial" w:eastAsia="Arial" w:hAnsi="Arial" w:cs="Arial"/>
          <w:b/>
          <w:bCs/>
          <w:sz w:val="20"/>
          <w:szCs w:val="20"/>
        </w:rPr>
        <w:t>Dissertation Committee</w:t>
      </w:r>
      <w:r>
        <w:rPr>
          <w:rFonts w:ascii="Arial" w:eastAsia="Arial" w:hAnsi="Arial" w:cs="Arial"/>
          <w:sz w:val="20"/>
          <w:szCs w:val="20"/>
        </w:rPr>
        <w:t>:  must be constituted and form submitted by end of 4</w:t>
      </w:r>
      <w:r>
        <w:rPr>
          <w:rFonts w:ascii="Arial" w:eastAsia="Arial" w:hAnsi="Arial" w:cs="Arial"/>
          <w:sz w:val="20"/>
          <w:szCs w:val="20"/>
          <w:vertAlign w:val="superscript"/>
        </w:rPr>
        <w:t>th</w:t>
      </w:r>
      <w:r>
        <w:rPr>
          <w:rFonts w:ascii="Arial" w:eastAsia="Arial" w:hAnsi="Arial" w:cs="Arial"/>
          <w:sz w:val="20"/>
          <w:szCs w:val="20"/>
        </w:rPr>
        <w:t xml:space="preserve"> week of </w:t>
      </w:r>
      <w:r>
        <w:rPr>
          <w:rFonts w:ascii="Arial" w:eastAsia="Arial" w:hAnsi="Arial" w:cs="Arial"/>
          <w:b/>
          <w:bCs/>
          <w:sz w:val="20"/>
          <w:szCs w:val="20"/>
        </w:rPr>
        <w:t>Spring 2027</w:t>
      </w:r>
      <w:r>
        <w:rPr>
          <w:rFonts w:ascii="Arial" w:eastAsia="Arial" w:hAnsi="Arial" w:cs="Arial"/>
          <w:sz w:val="20"/>
          <w:szCs w:val="20"/>
        </w:rPr>
        <w:t xml:space="preserve"> (</w:t>
      </w:r>
      <w:r>
        <w:rPr>
          <w:rFonts w:ascii="Arial" w:eastAsia="Arial" w:hAnsi="Arial" w:cs="Arial"/>
          <w:b/>
          <w:bCs/>
          <w:sz w:val="20"/>
          <w:szCs w:val="20"/>
        </w:rPr>
        <w:t>April 23, 2027</w:t>
      </w:r>
      <w:r>
        <w:rPr>
          <w:rFonts w:ascii="Arial" w:eastAsia="Arial" w:hAnsi="Arial" w:cs="Arial"/>
          <w:sz w:val="20"/>
          <w:szCs w:val="20"/>
        </w:rPr>
        <w:t xml:space="preserve">) </w:t>
      </w:r>
    </w:p>
    <w:p w14:paraId="494316EA" w14:textId="77777777" w:rsidR="00C4460F" w:rsidRDefault="00000000">
      <w:pPr>
        <w:numPr>
          <w:ilvl w:val="0"/>
          <w:numId w:val="2"/>
        </w:numPr>
        <w:spacing w:line="276" w:lineRule="auto"/>
        <w:rPr>
          <w:rFonts w:ascii="Arial" w:eastAsia="Arial" w:hAnsi="Arial" w:cs="Arial"/>
          <w:sz w:val="20"/>
          <w:szCs w:val="20"/>
        </w:rPr>
      </w:pPr>
      <w:r>
        <w:rPr>
          <w:rFonts w:ascii="Arial" w:eastAsia="Arial" w:hAnsi="Arial" w:cs="Arial"/>
          <w:b/>
          <w:bCs/>
          <w:sz w:val="20"/>
          <w:szCs w:val="20"/>
        </w:rPr>
        <w:t>Dissertation topic and exam areas</w:t>
      </w:r>
      <w:r>
        <w:rPr>
          <w:rFonts w:ascii="Arial" w:eastAsia="Arial" w:hAnsi="Arial" w:cs="Arial"/>
          <w:sz w:val="20"/>
          <w:szCs w:val="20"/>
        </w:rPr>
        <w:t xml:space="preserve"> must be chosen by </w:t>
      </w:r>
      <w:r>
        <w:rPr>
          <w:rFonts w:ascii="Arial" w:eastAsia="Arial" w:hAnsi="Arial" w:cs="Arial"/>
          <w:b/>
          <w:bCs/>
          <w:sz w:val="20"/>
          <w:szCs w:val="20"/>
        </w:rPr>
        <w:t>Spring 2027</w:t>
      </w:r>
    </w:p>
    <w:p w14:paraId="2DD2F1C4" w14:textId="77777777" w:rsidR="00C4460F" w:rsidRDefault="00000000">
      <w:pPr>
        <w:numPr>
          <w:ilvl w:val="0"/>
          <w:numId w:val="2"/>
        </w:numPr>
        <w:spacing w:line="276" w:lineRule="auto"/>
        <w:rPr>
          <w:rFonts w:ascii="Arial" w:eastAsia="Arial" w:hAnsi="Arial" w:cs="Arial"/>
          <w:sz w:val="20"/>
          <w:szCs w:val="20"/>
        </w:rPr>
      </w:pPr>
      <w:r>
        <w:rPr>
          <w:rFonts w:ascii="Arial" w:eastAsia="Arial" w:hAnsi="Arial" w:cs="Arial"/>
          <w:b/>
          <w:bCs/>
          <w:sz w:val="20"/>
          <w:szCs w:val="20"/>
        </w:rPr>
        <w:t>FAMST 298</w:t>
      </w:r>
      <w:proofErr w:type="gramStart"/>
      <w:r>
        <w:rPr>
          <w:rFonts w:ascii="Arial" w:eastAsia="Arial" w:hAnsi="Arial" w:cs="Arial"/>
          <w:b/>
          <w:bCs/>
          <w:sz w:val="20"/>
          <w:szCs w:val="20"/>
        </w:rPr>
        <w:t xml:space="preserve">-  </w:t>
      </w:r>
      <w:r>
        <w:rPr>
          <w:rFonts w:ascii="Arial" w:eastAsia="Arial" w:hAnsi="Arial" w:cs="Arial"/>
          <w:i/>
          <w:iCs/>
          <w:sz w:val="20"/>
          <w:szCs w:val="20"/>
        </w:rPr>
        <w:t>Prospectus</w:t>
      </w:r>
      <w:proofErr w:type="gramEnd"/>
      <w:r>
        <w:rPr>
          <w:rFonts w:ascii="Arial" w:eastAsia="Arial" w:hAnsi="Arial" w:cs="Arial"/>
          <w:i/>
          <w:iCs/>
          <w:sz w:val="20"/>
          <w:szCs w:val="20"/>
        </w:rPr>
        <w:t xml:space="preserve"> Preparation</w:t>
      </w:r>
      <w:r>
        <w:rPr>
          <w:rFonts w:ascii="Arial" w:eastAsia="Arial" w:hAnsi="Arial" w:cs="Arial"/>
          <w:sz w:val="20"/>
          <w:szCs w:val="20"/>
        </w:rPr>
        <w:t xml:space="preserve">:  enroll in </w:t>
      </w:r>
      <w:r>
        <w:rPr>
          <w:rFonts w:ascii="Arial" w:eastAsia="Arial" w:hAnsi="Arial" w:cs="Arial"/>
          <w:b/>
          <w:bCs/>
          <w:sz w:val="20"/>
          <w:szCs w:val="20"/>
        </w:rPr>
        <w:t>Spring 2027</w:t>
      </w:r>
    </w:p>
    <w:p w14:paraId="1091AF1E" w14:textId="77777777" w:rsidR="00C4460F" w:rsidRDefault="00000000">
      <w:pPr>
        <w:numPr>
          <w:ilvl w:val="0"/>
          <w:numId w:val="2"/>
        </w:numPr>
        <w:spacing w:line="276" w:lineRule="auto"/>
        <w:rPr>
          <w:rFonts w:ascii="Arial" w:eastAsia="Arial" w:hAnsi="Arial" w:cs="Arial"/>
          <w:sz w:val="20"/>
          <w:szCs w:val="20"/>
        </w:rPr>
      </w:pPr>
      <w:r>
        <w:rPr>
          <w:rFonts w:ascii="Arial" w:eastAsia="Arial" w:hAnsi="Arial" w:cs="Arial"/>
          <w:b/>
          <w:bCs/>
          <w:sz w:val="20"/>
          <w:szCs w:val="20"/>
        </w:rPr>
        <w:t>Reading Lists</w:t>
      </w:r>
      <w:r>
        <w:rPr>
          <w:rFonts w:ascii="Arial" w:eastAsia="Arial" w:hAnsi="Arial" w:cs="Arial"/>
          <w:sz w:val="20"/>
          <w:szCs w:val="20"/>
        </w:rPr>
        <w:t>:  formulated by 10</w:t>
      </w:r>
      <w:r>
        <w:rPr>
          <w:rFonts w:ascii="Arial" w:eastAsia="Arial" w:hAnsi="Arial" w:cs="Arial"/>
          <w:sz w:val="20"/>
          <w:szCs w:val="20"/>
          <w:vertAlign w:val="superscript"/>
        </w:rPr>
        <w:t>th</w:t>
      </w:r>
      <w:r>
        <w:rPr>
          <w:rFonts w:ascii="Arial" w:eastAsia="Arial" w:hAnsi="Arial" w:cs="Arial"/>
          <w:sz w:val="20"/>
          <w:szCs w:val="20"/>
        </w:rPr>
        <w:t xml:space="preserve"> week of Spring 2027 (</w:t>
      </w:r>
      <w:r>
        <w:rPr>
          <w:rFonts w:ascii="Arial" w:eastAsia="Arial" w:hAnsi="Arial" w:cs="Arial"/>
          <w:b/>
          <w:bCs/>
          <w:sz w:val="20"/>
          <w:szCs w:val="20"/>
        </w:rPr>
        <w:t>June 4, 2027</w:t>
      </w:r>
      <w:r>
        <w:rPr>
          <w:rFonts w:ascii="Arial" w:eastAsia="Arial" w:hAnsi="Arial" w:cs="Arial"/>
          <w:sz w:val="20"/>
          <w:szCs w:val="20"/>
        </w:rPr>
        <w:t>)</w:t>
      </w:r>
    </w:p>
    <w:p w14:paraId="3FF7CD3E" w14:textId="77777777" w:rsidR="00C4460F" w:rsidRDefault="00000000">
      <w:pPr>
        <w:numPr>
          <w:ilvl w:val="0"/>
          <w:numId w:val="2"/>
        </w:numPr>
        <w:spacing w:line="276" w:lineRule="auto"/>
        <w:rPr>
          <w:rFonts w:ascii="Arial" w:eastAsia="Arial" w:hAnsi="Arial" w:cs="Arial"/>
          <w:sz w:val="20"/>
          <w:szCs w:val="20"/>
        </w:rPr>
      </w:pPr>
      <w:r>
        <w:rPr>
          <w:rFonts w:ascii="Arial" w:eastAsia="Arial" w:hAnsi="Arial" w:cs="Arial"/>
          <w:b/>
          <w:bCs/>
          <w:sz w:val="20"/>
          <w:szCs w:val="20"/>
        </w:rPr>
        <w:t xml:space="preserve">All coursework </w:t>
      </w:r>
      <w:r>
        <w:rPr>
          <w:rFonts w:ascii="Arial" w:eastAsia="Arial" w:hAnsi="Arial" w:cs="Arial"/>
          <w:sz w:val="20"/>
          <w:szCs w:val="20"/>
        </w:rPr>
        <w:t>completed by end of</w:t>
      </w:r>
      <w:r>
        <w:rPr>
          <w:rFonts w:ascii="Arial" w:eastAsia="Arial" w:hAnsi="Arial" w:cs="Arial"/>
          <w:b/>
          <w:bCs/>
          <w:sz w:val="20"/>
          <w:szCs w:val="20"/>
        </w:rPr>
        <w:t xml:space="preserve"> Spring 2027</w:t>
      </w:r>
    </w:p>
    <w:p w14:paraId="208997F8" w14:textId="77777777" w:rsidR="00C4460F" w:rsidRDefault="00000000">
      <w:pPr>
        <w:spacing w:line="276" w:lineRule="auto"/>
        <w:rPr>
          <w:rFonts w:ascii="Arial" w:eastAsia="Arial" w:hAnsi="Arial" w:cs="Arial"/>
          <w:sz w:val="20"/>
          <w:szCs w:val="20"/>
        </w:rPr>
      </w:pPr>
      <w:r>
        <w:rPr>
          <w:rFonts w:ascii="Arial" w:eastAsia="Arial" w:hAnsi="Arial" w:cs="Arial"/>
          <w:sz w:val="20"/>
          <w:szCs w:val="20"/>
        </w:rPr>
        <w:t xml:space="preserve"> </w:t>
      </w:r>
    </w:p>
    <w:p w14:paraId="5997D3C4" w14:textId="77777777" w:rsidR="00C4460F" w:rsidRDefault="00000000">
      <w:pPr>
        <w:spacing w:line="276" w:lineRule="auto"/>
        <w:rPr>
          <w:rFonts w:ascii="Arial" w:eastAsia="Arial" w:hAnsi="Arial" w:cs="Arial"/>
          <w:sz w:val="20"/>
          <w:szCs w:val="20"/>
        </w:rPr>
      </w:pPr>
      <w:r>
        <w:rPr>
          <w:rFonts w:ascii="Arial" w:eastAsia="Arial" w:hAnsi="Arial" w:cs="Arial"/>
          <w:b/>
          <w:bCs/>
          <w:sz w:val="20"/>
          <w:szCs w:val="20"/>
        </w:rPr>
        <w:t>Year 3:</w:t>
      </w:r>
      <w:r>
        <w:rPr>
          <w:rFonts w:ascii="Arial" w:eastAsia="Arial" w:hAnsi="Arial" w:cs="Arial"/>
          <w:sz w:val="20"/>
          <w:szCs w:val="20"/>
        </w:rPr>
        <w:t xml:space="preserve">      </w:t>
      </w:r>
    </w:p>
    <w:p w14:paraId="30A3FBC4" w14:textId="77777777" w:rsidR="00C4460F" w:rsidRDefault="00000000">
      <w:pPr>
        <w:numPr>
          <w:ilvl w:val="0"/>
          <w:numId w:val="1"/>
        </w:numPr>
        <w:spacing w:line="276" w:lineRule="auto"/>
        <w:rPr>
          <w:rFonts w:ascii="Arial" w:eastAsia="Arial" w:hAnsi="Arial" w:cs="Arial"/>
          <w:sz w:val="20"/>
          <w:szCs w:val="20"/>
        </w:rPr>
      </w:pPr>
      <w:r>
        <w:rPr>
          <w:rFonts w:ascii="Arial" w:eastAsia="Arial" w:hAnsi="Arial" w:cs="Arial"/>
          <w:b/>
          <w:bCs/>
          <w:sz w:val="20"/>
          <w:szCs w:val="20"/>
        </w:rPr>
        <w:t>Prospectus</w:t>
      </w:r>
      <w:r>
        <w:rPr>
          <w:rFonts w:ascii="Arial" w:eastAsia="Arial" w:hAnsi="Arial" w:cs="Arial"/>
          <w:sz w:val="20"/>
          <w:szCs w:val="20"/>
        </w:rPr>
        <w:t>:  submitted by 1</w:t>
      </w:r>
      <w:r>
        <w:rPr>
          <w:rFonts w:ascii="Arial" w:eastAsia="Arial" w:hAnsi="Arial" w:cs="Arial"/>
          <w:sz w:val="20"/>
          <w:szCs w:val="20"/>
          <w:vertAlign w:val="superscript"/>
        </w:rPr>
        <w:t>st</w:t>
      </w:r>
      <w:r>
        <w:rPr>
          <w:rFonts w:ascii="Arial" w:eastAsia="Arial" w:hAnsi="Arial" w:cs="Arial"/>
          <w:sz w:val="20"/>
          <w:szCs w:val="20"/>
        </w:rPr>
        <w:t xml:space="preserve"> day of Fall 2027 (</w:t>
      </w:r>
      <w:r>
        <w:rPr>
          <w:rFonts w:ascii="Arial" w:eastAsia="Arial" w:hAnsi="Arial" w:cs="Arial"/>
          <w:b/>
          <w:bCs/>
          <w:sz w:val="20"/>
          <w:szCs w:val="20"/>
        </w:rPr>
        <w:t>September 19, 2027</w:t>
      </w:r>
      <w:r>
        <w:rPr>
          <w:rFonts w:ascii="Arial" w:eastAsia="Arial" w:hAnsi="Arial" w:cs="Arial"/>
          <w:sz w:val="20"/>
          <w:szCs w:val="20"/>
        </w:rPr>
        <w:t>)</w:t>
      </w:r>
    </w:p>
    <w:p w14:paraId="1DFE67D2" w14:textId="77777777" w:rsidR="00C4460F" w:rsidRDefault="00000000">
      <w:pPr>
        <w:numPr>
          <w:ilvl w:val="0"/>
          <w:numId w:val="1"/>
        </w:numPr>
        <w:spacing w:line="276" w:lineRule="auto"/>
        <w:rPr>
          <w:rFonts w:ascii="Arial" w:eastAsia="Arial" w:hAnsi="Arial" w:cs="Arial"/>
          <w:sz w:val="20"/>
          <w:szCs w:val="20"/>
        </w:rPr>
      </w:pPr>
      <w:r>
        <w:rPr>
          <w:rFonts w:ascii="Arial" w:eastAsia="Arial" w:hAnsi="Arial" w:cs="Arial"/>
          <w:b/>
          <w:bCs/>
          <w:sz w:val="20"/>
          <w:szCs w:val="20"/>
        </w:rPr>
        <w:t>Qualifying Exams</w:t>
      </w:r>
      <w:r>
        <w:rPr>
          <w:rFonts w:ascii="Arial" w:eastAsia="Arial" w:hAnsi="Arial" w:cs="Arial"/>
          <w:sz w:val="20"/>
          <w:szCs w:val="20"/>
        </w:rPr>
        <w:t>:  taken by end of 3</w:t>
      </w:r>
      <w:r>
        <w:rPr>
          <w:rFonts w:ascii="Arial" w:eastAsia="Arial" w:hAnsi="Arial" w:cs="Arial"/>
          <w:sz w:val="20"/>
          <w:szCs w:val="20"/>
          <w:vertAlign w:val="superscript"/>
        </w:rPr>
        <w:t>rd</w:t>
      </w:r>
      <w:r>
        <w:rPr>
          <w:rFonts w:ascii="Arial" w:eastAsia="Arial" w:hAnsi="Arial" w:cs="Arial"/>
          <w:sz w:val="20"/>
          <w:szCs w:val="20"/>
        </w:rPr>
        <w:t xml:space="preserve"> week of Fall 2027 (</w:t>
      </w:r>
      <w:r>
        <w:rPr>
          <w:rFonts w:ascii="Arial" w:eastAsia="Arial" w:hAnsi="Arial" w:cs="Arial"/>
          <w:b/>
          <w:bCs/>
          <w:sz w:val="20"/>
          <w:szCs w:val="20"/>
        </w:rPr>
        <w:t>October 8, 2027</w:t>
      </w:r>
      <w:r>
        <w:rPr>
          <w:rFonts w:ascii="Arial" w:eastAsia="Arial" w:hAnsi="Arial" w:cs="Arial"/>
          <w:sz w:val="20"/>
          <w:szCs w:val="20"/>
        </w:rPr>
        <w:t>)</w:t>
      </w:r>
    </w:p>
    <w:p w14:paraId="43E1A00E" w14:textId="77777777" w:rsidR="00C4460F" w:rsidRDefault="00000000">
      <w:pPr>
        <w:numPr>
          <w:ilvl w:val="0"/>
          <w:numId w:val="1"/>
        </w:numPr>
        <w:spacing w:line="276" w:lineRule="auto"/>
        <w:rPr>
          <w:rFonts w:ascii="Arial" w:eastAsia="Arial" w:hAnsi="Arial" w:cs="Arial"/>
          <w:sz w:val="20"/>
          <w:szCs w:val="20"/>
        </w:rPr>
      </w:pPr>
      <w:r>
        <w:rPr>
          <w:rFonts w:ascii="Arial" w:eastAsia="Arial" w:hAnsi="Arial" w:cs="Arial"/>
          <w:b/>
          <w:bCs/>
          <w:sz w:val="20"/>
          <w:szCs w:val="20"/>
        </w:rPr>
        <w:t>Prospectus Defense</w:t>
      </w:r>
      <w:r>
        <w:rPr>
          <w:rFonts w:ascii="Arial" w:eastAsia="Arial" w:hAnsi="Arial" w:cs="Arial"/>
          <w:sz w:val="20"/>
          <w:szCs w:val="20"/>
        </w:rPr>
        <w:t>:  completed by 7</w:t>
      </w:r>
      <w:r>
        <w:rPr>
          <w:rFonts w:ascii="Arial" w:eastAsia="Arial" w:hAnsi="Arial" w:cs="Arial"/>
          <w:sz w:val="20"/>
          <w:szCs w:val="20"/>
          <w:vertAlign w:val="superscript"/>
        </w:rPr>
        <w:t>th</w:t>
      </w:r>
      <w:r>
        <w:rPr>
          <w:rFonts w:ascii="Arial" w:eastAsia="Arial" w:hAnsi="Arial" w:cs="Arial"/>
          <w:sz w:val="20"/>
          <w:szCs w:val="20"/>
        </w:rPr>
        <w:t xml:space="preserve"> week of Fall 2027 (</w:t>
      </w:r>
      <w:r>
        <w:rPr>
          <w:rFonts w:ascii="Arial" w:eastAsia="Arial" w:hAnsi="Arial" w:cs="Arial"/>
          <w:b/>
          <w:bCs/>
          <w:sz w:val="20"/>
          <w:szCs w:val="20"/>
        </w:rPr>
        <w:t>November 5, 2027</w:t>
      </w:r>
      <w:r>
        <w:rPr>
          <w:rFonts w:ascii="Arial" w:eastAsia="Arial" w:hAnsi="Arial" w:cs="Arial"/>
          <w:sz w:val="20"/>
          <w:szCs w:val="20"/>
        </w:rPr>
        <w:t>)</w:t>
      </w:r>
    </w:p>
    <w:p w14:paraId="41C61ED7" w14:textId="77777777" w:rsidR="00C4460F" w:rsidRDefault="00000000">
      <w:pPr>
        <w:spacing w:line="276" w:lineRule="auto"/>
        <w:rPr>
          <w:rFonts w:ascii="Arial" w:eastAsia="Arial" w:hAnsi="Arial" w:cs="Arial"/>
          <w:b/>
          <w:bCs/>
          <w:sz w:val="20"/>
          <w:szCs w:val="20"/>
        </w:rPr>
      </w:pPr>
      <w:r>
        <w:rPr>
          <w:rFonts w:ascii="Arial" w:eastAsia="Arial" w:hAnsi="Arial" w:cs="Arial"/>
          <w:b/>
          <w:bCs/>
          <w:sz w:val="20"/>
          <w:szCs w:val="20"/>
        </w:rPr>
        <w:t xml:space="preserve"> </w:t>
      </w:r>
    </w:p>
    <w:p w14:paraId="6899EB34" w14:textId="77777777" w:rsidR="00C4460F" w:rsidRDefault="00C4460F">
      <w:pPr>
        <w:spacing w:line="276" w:lineRule="auto"/>
        <w:rPr>
          <w:rFonts w:ascii="Arial" w:eastAsia="Arial" w:hAnsi="Arial" w:cs="Arial"/>
          <w:b/>
          <w:bCs/>
          <w:sz w:val="20"/>
          <w:szCs w:val="20"/>
        </w:rPr>
      </w:pPr>
    </w:p>
    <w:p w14:paraId="73E12692" w14:textId="77777777" w:rsidR="00C4460F" w:rsidRDefault="00000000">
      <w:pPr>
        <w:spacing w:line="276" w:lineRule="auto"/>
        <w:rPr>
          <w:rFonts w:ascii="Arial" w:eastAsia="Arial" w:hAnsi="Arial" w:cs="Arial"/>
          <w:b/>
          <w:bCs/>
          <w:sz w:val="20"/>
          <w:szCs w:val="20"/>
        </w:rPr>
      </w:pPr>
      <w:r>
        <w:rPr>
          <w:rFonts w:ascii="Arial" w:eastAsia="Arial" w:hAnsi="Arial" w:cs="Arial"/>
          <w:b/>
          <w:bCs/>
          <w:sz w:val="20"/>
          <w:szCs w:val="20"/>
        </w:rPr>
        <w:t xml:space="preserve">Year 5:      </w:t>
      </w:r>
    </w:p>
    <w:p w14:paraId="1F919279" w14:textId="77777777" w:rsidR="00C4460F" w:rsidRDefault="00000000">
      <w:pPr>
        <w:numPr>
          <w:ilvl w:val="0"/>
          <w:numId w:val="8"/>
        </w:numPr>
        <w:spacing w:line="276" w:lineRule="auto"/>
        <w:rPr>
          <w:rFonts w:ascii="Arial" w:eastAsia="Arial" w:hAnsi="Arial" w:cs="Arial"/>
          <w:sz w:val="20"/>
          <w:szCs w:val="20"/>
        </w:rPr>
      </w:pPr>
      <w:r>
        <w:rPr>
          <w:rFonts w:ascii="Arial" w:eastAsia="Arial" w:hAnsi="Arial" w:cs="Arial"/>
          <w:b/>
          <w:bCs/>
          <w:sz w:val="20"/>
          <w:szCs w:val="20"/>
        </w:rPr>
        <w:t xml:space="preserve"> Language</w:t>
      </w:r>
      <w:r>
        <w:rPr>
          <w:rFonts w:ascii="Arial" w:eastAsia="Arial" w:hAnsi="Arial" w:cs="Arial"/>
          <w:sz w:val="20"/>
          <w:szCs w:val="20"/>
        </w:rPr>
        <w:t xml:space="preserve"> </w:t>
      </w:r>
      <w:r>
        <w:rPr>
          <w:rFonts w:ascii="Arial" w:eastAsia="Arial" w:hAnsi="Arial" w:cs="Arial"/>
          <w:b/>
          <w:bCs/>
          <w:sz w:val="20"/>
          <w:szCs w:val="20"/>
        </w:rPr>
        <w:t>Requirement</w:t>
      </w:r>
      <w:r>
        <w:rPr>
          <w:rFonts w:ascii="Arial" w:eastAsia="Arial" w:hAnsi="Arial" w:cs="Arial"/>
          <w:sz w:val="20"/>
          <w:szCs w:val="20"/>
        </w:rPr>
        <w:t xml:space="preserve"> met by the date of filing the dissertation</w:t>
      </w:r>
    </w:p>
    <w:p w14:paraId="2EACE0EF" w14:textId="77777777" w:rsidR="00C4460F" w:rsidRDefault="00000000">
      <w:pPr>
        <w:numPr>
          <w:ilvl w:val="0"/>
          <w:numId w:val="8"/>
        </w:numPr>
        <w:spacing w:line="276" w:lineRule="auto"/>
        <w:rPr>
          <w:rFonts w:ascii="Arial" w:eastAsia="Arial" w:hAnsi="Arial" w:cs="Arial"/>
          <w:sz w:val="20"/>
          <w:szCs w:val="20"/>
        </w:rPr>
      </w:pPr>
      <w:r>
        <w:rPr>
          <w:rFonts w:ascii="Arial" w:eastAsia="Arial" w:hAnsi="Arial" w:cs="Arial"/>
          <w:b/>
          <w:bCs/>
          <w:sz w:val="20"/>
          <w:szCs w:val="20"/>
        </w:rPr>
        <w:t xml:space="preserve">PhD (five years):  </w:t>
      </w:r>
      <w:r>
        <w:rPr>
          <w:rFonts w:ascii="Arial" w:eastAsia="Arial" w:hAnsi="Arial" w:cs="Arial"/>
          <w:sz w:val="20"/>
          <w:szCs w:val="20"/>
        </w:rPr>
        <w:t xml:space="preserve">completed by the end of </w:t>
      </w:r>
      <w:r>
        <w:rPr>
          <w:rFonts w:ascii="Arial" w:eastAsia="Arial" w:hAnsi="Arial" w:cs="Arial"/>
          <w:b/>
          <w:bCs/>
          <w:sz w:val="20"/>
          <w:szCs w:val="20"/>
        </w:rPr>
        <w:t>Spring 2030</w:t>
      </w:r>
    </w:p>
    <w:p w14:paraId="393DF469"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i/>
          <w:iCs/>
          <w:color w:val="231F20"/>
          <w:sz w:val="20"/>
          <w:szCs w:val="20"/>
        </w:rPr>
      </w:pPr>
    </w:p>
    <w:p w14:paraId="18D633D8" w14:textId="77777777" w:rsidR="00C4460F" w:rsidRDefault="00C4460F">
      <w:pPr>
        <w:widowControl w:val="0"/>
        <w:pBdr>
          <w:top w:val="nil"/>
          <w:left w:val="nil"/>
          <w:bottom w:val="nil"/>
          <w:right w:val="nil"/>
          <w:between w:val="nil"/>
        </w:pBdr>
        <w:tabs>
          <w:tab w:val="right" w:pos="720"/>
        </w:tabs>
        <w:spacing w:line="276" w:lineRule="auto"/>
        <w:ind w:left="360" w:right="117"/>
        <w:jc w:val="both"/>
        <w:rPr>
          <w:rFonts w:ascii="Arial" w:eastAsia="Arial" w:hAnsi="Arial" w:cs="Arial"/>
          <w:i/>
          <w:iCs/>
          <w:color w:val="231F20"/>
          <w:sz w:val="20"/>
          <w:szCs w:val="20"/>
        </w:rPr>
      </w:pPr>
    </w:p>
    <w:p w14:paraId="6C8F94D2" w14:textId="77777777" w:rsidR="00C4460F" w:rsidRDefault="00000000">
      <w:pPr>
        <w:tabs>
          <w:tab w:val="right" w:pos="720"/>
        </w:tabs>
        <w:spacing w:line="276" w:lineRule="auto"/>
        <w:rPr>
          <w:rFonts w:ascii="Arial" w:eastAsia="Arial" w:hAnsi="Arial" w:cs="Arial"/>
          <w:sz w:val="20"/>
          <w:szCs w:val="20"/>
          <w:u w:val="single"/>
        </w:rPr>
      </w:pPr>
      <w:r>
        <w:rPr>
          <w:rFonts w:ascii="Arial" w:eastAsia="Arial" w:hAnsi="Arial" w:cs="Arial"/>
          <w:sz w:val="20"/>
          <w:szCs w:val="20"/>
          <w:u w:val="single"/>
        </w:rPr>
        <w:br/>
      </w:r>
      <w:r>
        <w:rPr>
          <w:rFonts w:ascii="Arial" w:eastAsia="Arial" w:hAnsi="Arial" w:cs="Arial"/>
          <w:sz w:val="20"/>
          <w:szCs w:val="20"/>
          <w:u w:val="single"/>
        </w:rPr>
        <w:br/>
      </w:r>
      <w:r>
        <w:rPr>
          <w:rFonts w:ascii="Arial" w:eastAsia="Arial" w:hAnsi="Arial" w:cs="Arial"/>
          <w:sz w:val="20"/>
          <w:szCs w:val="20"/>
          <w:u w:val="single"/>
        </w:rPr>
        <w:lastRenderedPageBreak/>
        <w:br/>
        <w:t>Degree Requirements</w:t>
      </w:r>
    </w:p>
    <w:p w14:paraId="5B4D34B3" w14:textId="77777777" w:rsidR="00C4460F" w:rsidRDefault="00C4460F">
      <w:pPr>
        <w:tabs>
          <w:tab w:val="right" w:pos="720"/>
        </w:tabs>
        <w:spacing w:line="276" w:lineRule="auto"/>
        <w:rPr>
          <w:rFonts w:ascii="Arial" w:eastAsia="Arial" w:hAnsi="Arial" w:cs="Arial"/>
          <w:sz w:val="20"/>
          <w:szCs w:val="20"/>
        </w:rPr>
      </w:pPr>
    </w:p>
    <w:p w14:paraId="3BEB8CF8"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Students entering from the department with an M.A. or M.F.A. in another discipline may be required to complete the M.A. requirements of the Department of Film and Media Studies prior to the end of the first year of the Ph.D. program. We suggest that students investigate and possibly visit potential locations for off-campus research sometime between the second and third years. In the third year, the student must complete six graduate courses, some or all of which will contribute to the development of the student’s emerging research program. By the end of the third year, each student will have taken and passed a total of 17 courses</w:t>
      </w:r>
      <w:r>
        <w:rPr>
          <w:rFonts w:ascii="Arial" w:eastAsia="Arial" w:hAnsi="Arial" w:cs="Arial"/>
          <w:color w:val="6AA84F"/>
          <w:sz w:val="20"/>
          <w:szCs w:val="20"/>
        </w:rPr>
        <w:t>.</w:t>
      </w:r>
      <w:r>
        <w:rPr>
          <w:rFonts w:ascii="Arial" w:eastAsia="Arial" w:hAnsi="Arial" w:cs="Arial"/>
          <w:color w:val="231F20"/>
          <w:sz w:val="20"/>
          <w:szCs w:val="20"/>
        </w:rPr>
        <w:t xml:space="preserve"> (With the approval of the department’s Director of Graduate Studies, in the first three years up to five elective courses may be taken in other departments.)</w:t>
      </w:r>
    </w:p>
    <w:p w14:paraId="568BED0B"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111AEDD"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By the end of the spring quarter of the third year the student must form a dissertation committee and select a dissertation topic and three areas of specialization for exams relating to the dissertation topic developed in consultation with the committee.</w:t>
      </w:r>
    </w:p>
    <w:p w14:paraId="2E6E3565"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50326C0"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By the end of the fall quarter of the fourth year the student must pass a written exam administered by the dissertation committee covering the three areas of specialization and pass an oral defense of a written prospectus. With the help of the Graduate Program </w:t>
      </w:r>
      <w:proofErr w:type="gramStart"/>
      <w:r>
        <w:rPr>
          <w:rFonts w:ascii="Arial" w:eastAsia="Arial" w:hAnsi="Arial" w:cs="Arial"/>
          <w:color w:val="231F20"/>
          <w:sz w:val="20"/>
          <w:szCs w:val="20"/>
        </w:rPr>
        <w:t>Advisor</w:t>
      </w:r>
      <w:proofErr w:type="gramEnd"/>
      <w:r>
        <w:rPr>
          <w:rFonts w:ascii="Arial" w:eastAsia="Arial" w:hAnsi="Arial" w:cs="Arial"/>
          <w:color w:val="231F20"/>
          <w:sz w:val="20"/>
          <w:szCs w:val="20"/>
        </w:rPr>
        <w:t xml:space="preserve"> they will then be filed for advancement to candidacy. In the remainder of the fourth, and through the fifth, sixth and, if necessary, the seventh year the student will complete the writing of the dissertation based on original research and then successfully defend it orally before the dissertation committee upon completion. The student must complete the foreign language requirement by the time of the dissertation filing.</w:t>
      </w:r>
    </w:p>
    <w:p w14:paraId="74F28364"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6A785E5" w14:textId="77777777" w:rsidR="00C4460F" w:rsidRDefault="00000000">
      <w:pPr>
        <w:pStyle w:val="Heading2"/>
        <w:spacing w:line="276" w:lineRule="auto"/>
        <w:rPr>
          <w:rFonts w:ascii="Arial" w:eastAsia="Arial" w:hAnsi="Arial" w:cs="Arial"/>
          <w:b/>
          <w:bCs/>
        </w:rPr>
      </w:pPr>
      <w:bookmarkStart w:id="40" w:name="_heading=h.dznrtr6urs3f" w:colFirst="0" w:colLast="0"/>
      <w:bookmarkEnd w:id="40"/>
      <w:r>
        <w:rPr>
          <w:rFonts w:ascii="Arial" w:eastAsia="Arial" w:hAnsi="Arial" w:cs="Arial"/>
        </w:rPr>
        <w:t>Foreign Language Requirement</w:t>
      </w:r>
    </w:p>
    <w:p w14:paraId="33C871B1"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All candidates for the Ph.D. degree must demonstrate proficiency in a second language before receiving their degree. The standard is reading knowledge, and the required level of proficiency will be determined by the dissertation chair and approved by the departmental graduate committee. This is a general requirement for the Ph.D. degree; thus, any language courses that a </w:t>
      </w:r>
      <w:proofErr w:type="gramStart"/>
      <w:r>
        <w:rPr>
          <w:rFonts w:ascii="Arial" w:eastAsia="Arial" w:hAnsi="Arial" w:cs="Arial"/>
          <w:color w:val="231F20"/>
          <w:sz w:val="20"/>
          <w:szCs w:val="20"/>
        </w:rPr>
        <w:t>student takes</w:t>
      </w:r>
      <w:proofErr w:type="gramEnd"/>
      <w:r>
        <w:rPr>
          <w:rFonts w:ascii="Arial" w:eastAsia="Arial" w:hAnsi="Arial" w:cs="Arial"/>
          <w:color w:val="231F20"/>
          <w:sz w:val="20"/>
          <w:szCs w:val="20"/>
        </w:rPr>
        <w:t xml:space="preserve"> must be in addition to the required seventeen Film and Media Studies core and elective courses for the MA/Ph.D. degree or the required eleven Film and Media Studies core and elective courses for the Ph.D.-only degree. (Units taken to fulfill this requirement do not count towards the degree.) Students can complete this requirement in the following ways:</w:t>
      </w:r>
    </w:p>
    <w:p w14:paraId="2BBE626D" w14:textId="77777777" w:rsidR="00C4460F" w:rsidRDefault="00000000">
      <w:pPr>
        <w:widowControl w:val="0"/>
        <w:numPr>
          <w:ilvl w:val="0"/>
          <w:numId w:val="7"/>
        </w:numPr>
        <w:pBdr>
          <w:top w:val="nil"/>
          <w:left w:val="nil"/>
          <w:bottom w:val="nil"/>
          <w:right w:val="nil"/>
          <w:between w:val="nil"/>
        </w:pBdr>
        <w:tabs>
          <w:tab w:val="right" w:pos="720"/>
        </w:tabs>
        <w:spacing w:line="276" w:lineRule="auto"/>
        <w:ind w:right="117" w:hanging="288"/>
        <w:jc w:val="both"/>
        <w:rPr>
          <w:rFonts w:ascii="Arial" w:eastAsia="Arial" w:hAnsi="Arial" w:cs="Arial"/>
        </w:rPr>
      </w:pPr>
      <w:r>
        <w:rPr>
          <w:rFonts w:ascii="Arial" w:eastAsia="Arial" w:hAnsi="Arial" w:cs="Arial"/>
          <w:color w:val="231F20"/>
          <w:sz w:val="20"/>
          <w:szCs w:val="20"/>
        </w:rPr>
        <w:t>Completion of a language course at the intermediate level (4-6) with a minimum grade of B+; or,</w:t>
      </w:r>
    </w:p>
    <w:p w14:paraId="41D2C23E" w14:textId="77777777" w:rsidR="00C4460F" w:rsidRDefault="00000000">
      <w:pPr>
        <w:widowControl w:val="0"/>
        <w:numPr>
          <w:ilvl w:val="0"/>
          <w:numId w:val="7"/>
        </w:numPr>
        <w:pBdr>
          <w:top w:val="nil"/>
          <w:left w:val="nil"/>
          <w:bottom w:val="nil"/>
          <w:right w:val="nil"/>
          <w:between w:val="nil"/>
        </w:pBdr>
        <w:tabs>
          <w:tab w:val="right" w:pos="720"/>
        </w:tabs>
        <w:spacing w:line="276" w:lineRule="auto"/>
        <w:ind w:right="117" w:hanging="288"/>
        <w:jc w:val="both"/>
        <w:rPr>
          <w:rFonts w:ascii="Arial" w:eastAsia="Arial" w:hAnsi="Arial" w:cs="Arial"/>
        </w:rPr>
      </w:pPr>
      <w:r>
        <w:rPr>
          <w:rFonts w:ascii="Arial" w:eastAsia="Arial" w:hAnsi="Arial" w:cs="Arial"/>
          <w:color w:val="231F20"/>
          <w:sz w:val="20"/>
          <w:szCs w:val="20"/>
        </w:rPr>
        <w:t>Completion of an upper-division literature course conducted in a foreign language with a minimum grade of B+; or,</w:t>
      </w:r>
    </w:p>
    <w:p w14:paraId="4D72ABC6" w14:textId="77777777" w:rsidR="00C4460F" w:rsidRDefault="00000000">
      <w:pPr>
        <w:widowControl w:val="0"/>
        <w:numPr>
          <w:ilvl w:val="0"/>
          <w:numId w:val="7"/>
        </w:numPr>
        <w:pBdr>
          <w:top w:val="nil"/>
          <w:left w:val="nil"/>
          <w:bottom w:val="nil"/>
          <w:right w:val="nil"/>
          <w:between w:val="nil"/>
        </w:pBdr>
        <w:tabs>
          <w:tab w:val="right" w:pos="720"/>
        </w:tabs>
        <w:spacing w:line="276" w:lineRule="auto"/>
        <w:ind w:right="117" w:hanging="288"/>
        <w:jc w:val="both"/>
        <w:rPr>
          <w:rFonts w:ascii="Arial" w:eastAsia="Arial" w:hAnsi="Arial" w:cs="Arial"/>
        </w:rPr>
      </w:pPr>
      <w:r>
        <w:rPr>
          <w:rFonts w:ascii="Arial" w:eastAsia="Arial" w:hAnsi="Arial" w:cs="Arial"/>
          <w:color w:val="231F20"/>
          <w:sz w:val="20"/>
          <w:szCs w:val="20"/>
        </w:rPr>
        <w:t>Completion of a foreign language reading course for graduate students with a minimum grade of B+; or,</w:t>
      </w:r>
    </w:p>
    <w:p w14:paraId="4334B04F" w14:textId="77777777" w:rsidR="00C4460F" w:rsidRDefault="00000000">
      <w:pPr>
        <w:widowControl w:val="0"/>
        <w:numPr>
          <w:ilvl w:val="0"/>
          <w:numId w:val="7"/>
        </w:numPr>
        <w:pBdr>
          <w:top w:val="nil"/>
          <w:left w:val="nil"/>
          <w:bottom w:val="nil"/>
          <w:right w:val="nil"/>
          <w:between w:val="nil"/>
        </w:pBdr>
        <w:tabs>
          <w:tab w:val="right" w:pos="720"/>
        </w:tabs>
        <w:spacing w:line="276" w:lineRule="auto"/>
        <w:ind w:right="117" w:hanging="288"/>
        <w:jc w:val="both"/>
        <w:rPr>
          <w:rFonts w:ascii="Arial" w:eastAsia="Arial" w:hAnsi="Arial" w:cs="Arial"/>
        </w:rPr>
      </w:pPr>
      <w:r>
        <w:rPr>
          <w:rFonts w:ascii="Arial" w:eastAsia="Arial" w:hAnsi="Arial" w:cs="Arial"/>
          <w:color w:val="231F20"/>
          <w:sz w:val="20"/>
          <w:szCs w:val="20"/>
        </w:rPr>
        <w:t>Passing a Foreign Language Evaluation Exam at reading proficiency level as administered and determined by the respective language department; or,</w:t>
      </w:r>
    </w:p>
    <w:p w14:paraId="575C9752" w14:textId="77777777" w:rsidR="00C4460F" w:rsidRDefault="00000000">
      <w:pPr>
        <w:widowControl w:val="0"/>
        <w:numPr>
          <w:ilvl w:val="0"/>
          <w:numId w:val="7"/>
        </w:numPr>
        <w:pBdr>
          <w:top w:val="nil"/>
          <w:left w:val="nil"/>
          <w:bottom w:val="nil"/>
          <w:right w:val="nil"/>
          <w:between w:val="nil"/>
        </w:pBdr>
        <w:tabs>
          <w:tab w:val="right" w:pos="720"/>
        </w:tabs>
        <w:spacing w:line="276" w:lineRule="auto"/>
        <w:ind w:right="117" w:hanging="288"/>
        <w:jc w:val="both"/>
        <w:rPr>
          <w:rFonts w:ascii="Arial" w:eastAsia="Arial" w:hAnsi="Arial" w:cs="Arial"/>
        </w:rPr>
      </w:pPr>
      <w:r>
        <w:rPr>
          <w:rFonts w:ascii="Arial" w:eastAsia="Arial" w:hAnsi="Arial" w:cs="Arial"/>
          <w:color w:val="231F20"/>
          <w:sz w:val="20"/>
          <w:szCs w:val="20"/>
        </w:rPr>
        <w:t>Alternatives such as petitioning for fulfillment based on previous coursework and/or language proficiency; Fulbright study; successfully passing or completing a Foreign Language and Area Studies Fellowship (FLAS); online courses from an approved institution; or other options as determined by your faculty advisor by petition to Graduate Committee.</w:t>
      </w:r>
    </w:p>
    <w:p w14:paraId="16260FB7"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D359AAC"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Students whose native language is not English will have the opportunity to satisfy the requirement with their native language, except in cases where additional language learning is necessary for the specific dissertation research, as determined by the dissertation committee chair and Graduate Committee.</w:t>
      </w:r>
    </w:p>
    <w:p w14:paraId="1C7BA55C" w14:textId="77777777" w:rsidR="00C4460F" w:rsidRDefault="00C4460F">
      <w:pPr>
        <w:widowControl w:val="0"/>
        <w:pBdr>
          <w:top w:val="nil"/>
          <w:left w:val="nil"/>
          <w:bottom w:val="nil"/>
          <w:right w:val="nil"/>
          <w:between w:val="nil"/>
        </w:pBdr>
        <w:tabs>
          <w:tab w:val="left" w:pos="384"/>
          <w:tab w:val="right" w:pos="720"/>
        </w:tabs>
        <w:spacing w:line="276" w:lineRule="auto"/>
        <w:ind w:left="115" w:right="116"/>
        <w:jc w:val="both"/>
        <w:rPr>
          <w:rFonts w:ascii="Arial" w:eastAsia="Arial" w:hAnsi="Arial" w:cs="Arial"/>
          <w:color w:val="000000"/>
          <w:sz w:val="20"/>
          <w:szCs w:val="20"/>
        </w:rPr>
      </w:pPr>
    </w:p>
    <w:p w14:paraId="4E836AFA" w14:textId="77777777" w:rsidR="00C4460F" w:rsidRDefault="00000000">
      <w:pPr>
        <w:pStyle w:val="Heading2"/>
        <w:spacing w:line="276" w:lineRule="auto"/>
      </w:pPr>
      <w:bookmarkStart w:id="41" w:name="_heading=h.826i5uj23y19" w:colFirst="0" w:colLast="0"/>
      <w:bookmarkEnd w:id="41"/>
      <w:r>
        <w:rPr>
          <w:rFonts w:ascii="Arial" w:eastAsia="Arial" w:hAnsi="Arial" w:cs="Arial"/>
        </w:rPr>
        <w:t>Residency Requirement for the Ph.D. Degree</w:t>
      </w:r>
    </w:p>
    <w:p w14:paraId="22ABC746"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Students in doctoral programs must enroll for at least 6 regular academic quarters. Three consecutive quarters of residence must be completed prior to advancement to candidacy. If you were enrolled in the M.A./Ph.D. program and you were registered for 6 quarters as a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student (including 3 consecutive quarters), you do not have to enroll for another 6 quarters to satisfy the residency requirement.</w:t>
      </w:r>
    </w:p>
    <w:p w14:paraId="330882BA"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88BD92F"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Continuous registration is expected of all graduate students. Under special circumstances students may request a leave of absence from the Dean (see above). Students who are neither registered nor on an approved leave of absence lose all status and privileges as students. They cannot hold fellowships or other forms of financial support, and must apply for reinstatement, and, when applicable, readvancement to candidacy.</w:t>
      </w:r>
    </w:p>
    <w:p w14:paraId="5817C214"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27D6996" w14:textId="77777777" w:rsidR="00C4460F" w:rsidRDefault="00000000">
      <w:pPr>
        <w:pStyle w:val="Heading2"/>
        <w:spacing w:line="276" w:lineRule="auto"/>
        <w:rPr>
          <w:rFonts w:ascii="Arial" w:eastAsia="Arial" w:hAnsi="Arial" w:cs="Arial"/>
          <w:b/>
          <w:bCs/>
        </w:rPr>
      </w:pPr>
      <w:bookmarkStart w:id="42" w:name="_heading=h.tsey7579wduq" w:colFirst="0" w:colLast="0"/>
      <w:bookmarkEnd w:id="42"/>
      <w:r>
        <w:rPr>
          <w:rFonts w:ascii="Arial" w:eastAsia="Arial" w:hAnsi="Arial" w:cs="Arial"/>
        </w:rPr>
        <w:t>Maximum Time/Normative Time for the Ph.D. Degree</w:t>
      </w:r>
    </w:p>
    <w:p w14:paraId="40485DAF"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 University sets time limits called “degree deadlines” for completing master’s and doctoral degrees. Doctoral candidates in all fields are expected to complete their degree requirements within 7 years. This is the maximum time allowed. The University’s 7-year degree deadline for completion of a doctorate is distinct from normative time, which is the number of years considered to be reasonable by the faculty of an individual department for completion of a Ph.D. by a full-time student in that program. The Film and Studies Department established a normative time for completion of the Ph.D. at 6 years for those entering without a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degree, and 5 years for those entering with a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degree. Normative time is measured from the time a student begins graduate study at any level at UCSB. In the case of Leave of Absence for medical, family emergency, or pregnancy/parenting reasons, three quarters of Leave of Absence are permitted in which no time shall accrue toward the normative time deadline. More Leaves of Absence or periods of lapsed status will not stop the student’s normative time clock. The Department will enforce these rules and approve exceptions only under unusual circumstances.</w:t>
      </w:r>
    </w:p>
    <w:p w14:paraId="333ED346"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C3BEFF6"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If you exceed the 7-year maximum before completing the requirements for the Ph.D., you must petition the Graduate Council for a degree deadline extension. The Graduate Council is concerned that degrees be granted only to students who are currently in the scholarship of their fields, and who have kept abreast of the literature and research in the discipline. The nature of the petition depends on the length of time by which the degree deadline has been exceeded. If the degree deadline has been exceeded by less than two years, a Graduate Student Petition requesting the extension, endorsed and signed by the Graduate Advisor, must be submitted. Approval of such petitions is typically routine. If the deadline has been exceeded by more than two years, a Graduate Student Petition requesting the extension, endorsed and signed by the Graduate Advisor, must be submitted. The petition must be accompanied by a memo documenting and certifying currency in the field, signed by all members of the dissertation committee. The Graduate Council has identified continuous registration, teaching or research apprenticeships, or contact with current literature and research in the field as examples of currency. If additional information is needed, the Graduate Division will contact the Graduate Advisor. Approval of such petitions may be considered by the Chair of Graduate Council or referred for inclusion on the Graduate Council agenda as necessary. Petitions are available from the Graduate Division or can be downloaded at: </w:t>
      </w:r>
      <w:hyperlink r:id="rId26">
        <w:r>
          <w:rPr>
            <w:rFonts w:ascii="Arial" w:eastAsia="Arial" w:hAnsi="Arial" w:cs="Arial"/>
            <w:color w:val="231F20"/>
            <w:sz w:val="20"/>
            <w:szCs w:val="20"/>
          </w:rPr>
          <w:t>http://www.graddiv.ucsb.edu/pubs.</w:t>
        </w:r>
      </w:hyperlink>
    </w:p>
    <w:p w14:paraId="72716770" w14:textId="77777777" w:rsidR="00C4460F" w:rsidRDefault="00C4460F">
      <w:pPr>
        <w:pStyle w:val="Heading2"/>
        <w:spacing w:line="276" w:lineRule="auto"/>
        <w:rPr>
          <w:rFonts w:ascii="Arial" w:eastAsia="Arial" w:hAnsi="Arial" w:cs="Arial"/>
        </w:rPr>
      </w:pPr>
    </w:p>
    <w:p w14:paraId="039A20F0" w14:textId="77777777" w:rsidR="00C4460F" w:rsidRDefault="00000000">
      <w:pPr>
        <w:pStyle w:val="Heading2"/>
        <w:spacing w:line="276" w:lineRule="auto"/>
        <w:rPr>
          <w:rFonts w:ascii="Arial" w:eastAsia="Arial" w:hAnsi="Arial" w:cs="Arial"/>
          <w:b/>
          <w:bCs/>
        </w:rPr>
      </w:pPr>
      <w:bookmarkStart w:id="43" w:name="_heading=h.af72zbjvhow4" w:colFirst="0" w:colLast="0"/>
      <w:bookmarkEnd w:id="43"/>
      <w:r>
        <w:rPr>
          <w:rFonts w:ascii="Arial" w:eastAsia="Arial" w:hAnsi="Arial" w:cs="Arial"/>
        </w:rPr>
        <w:t>The Ph.D. Committee</w:t>
      </w:r>
    </w:p>
    <w:p w14:paraId="4AEE4438"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A Ph.D. Committee in the Film and Media Studies Department consists of four or five members. At least three members must be regular Senate faculty in the Department of Film and Media Studies. At least one member must be from outside the Department. For this purpose, Affiliated faculty are considered outside </w:t>
      </w:r>
      <w:r>
        <w:rPr>
          <w:rFonts w:ascii="Arial" w:eastAsia="Arial" w:hAnsi="Arial" w:cs="Arial"/>
          <w:color w:val="231F20"/>
          <w:sz w:val="20"/>
          <w:szCs w:val="20"/>
        </w:rPr>
        <w:lastRenderedPageBreak/>
        <w:t>the home department. A fifth member is optional. If the outside member is not UC faculty, you should include a short C.V. with the Ph.D. committee nomination form. Additional members may be added to the committee beyond the four required where appropriate.</w:t>
      </w:r>
    </w:p>
    <w:p w14:paraId="31BBF88E"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33B1BC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Any three or more members of the Ph.D. Committee (including the chair of your committee and at least one additional member from the Film and Media Studies Department) constitute an examining committee for administering the oral or written e</w:t>
      </w:r>
      <w:r>
        <w:rPr>
          <w:rFonts w:ascii="Arial" w:eastAsia="Arial" w:hAnsi="Arial" w:cs="Arial"/>
          <w:sz w:val="20"/>
          <w:szCs w:val="20"/>
        </w:rPr>
        <w:t xml:space="preserve">xam. Students nominate their committees through their </w:t>
      </w:r>
      <w:proofErr w:type="spellStart"/>
      <w:r>
        <w:rPr>
          <w:rFonts w:ascii="Arial" w:eastAsia="Arial" w:hAnsi="Arial" w:cs="Arial"/>
          <w:sz w:val="20"/>
          <w:szCs w:val="20"/>
        </w:rPr>
        <w:t>GradPoint</w:t>
      </w:r>
      <w:proofErr w:type="spellEnd"/>
      <w:r>
        <w:rPr>
          <w:rFonts w:ascii="Arial" w:eastAsia="Arial" w:hAnsi="Arial" w:cs="Arial"/>
          <w:sz w:val="20"/>
          <w:szCs w:val="20"/>
        </w:rPr>
        <w:t xml:space="preserve"> portal. Instructions and a video tutorial for committee nomination is found here: </w:t>
      </w:r>
      <w:hyperlink r:id="rId27" w:anchor=":~:text=Graduate%20students%20completing%20a%20master's,via%20the%20Committee%20Change%20workflow.">
        <w:r>
          <w:rPr>
            <w:rFonts w:ascii="Arial" w:eastAsia="Arial" w:hAnsi="Arial" w:cs="Arial"/>
            <w:sz w:val="20"/>
            <w:szCs w:val="20"/>
            <w:u w:val="single"/>
          </w:rPr>
          <w:t>https://www.graddiv.ucsb.edu/academic-services/committees#:~:text=Graduate%20students%20comple</w:t>
        </w:r>
      </w:hyperlink>
      <w:hyperlink r:id="rId28" w:anchor=":~:text=Graduate%20students%20completing%20a%20master's,via%20the%20Committee%20Change%20workflow.">
        <w:r>
          <w:rPr>
            <w:rFonts w:ascii="Arial" w:eastAsia="Arial" w:hAnsi="Arial" w:cs="Arial"/>
            <w:color w:val="1155CC"/>
            <w:sz w:val="20"/>
            <w:szCs w:val="20"/>
            <w:u w:val="single"/>
          </w:rPr>
          <w:t>ting%20a%20master's,via%20the%20Committee%20Change%20workflow.</w:t>
        </w:r>
      </w:hyperlink>
      <w:r>
        <w:rPr>
          <w:rFonts w:ascii="Arial" w:eastAsia="Arial" w:hAnsi="Arial" w:cs="Arial"/>
          <w:color w:val="231F20"/>
          <w:sz w:val="20"/>
          <w:szCs w:val="20"/>
        </w:rPr>
        <w:t xml:space="preserve"> The dissertation requires the signatures of all members of the Ph.D. Committee. If there is one or more members of your committee who will not be participating in your written or oral examinations but will be serving as a reviewer for your dissertation only, The Committee requires the approval of the Department Director of Graduate Studies, the Department Chair, and the Graduate Dean.</w:t>
      </w:r>
    </w:p>
    <w:p w14:paraId="5DA48F7B"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D214FC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Ladder faculty who </w:t>
      </w:r>
      <w:proofErr w:type="gramStart"/>
      <w:r>
        <w:rPr>
          <w:rFonts w:ascii="Arial" w:eastAsia="Arial" w:hAnsi="Arial" w:cs="Arial"/>
          <w:color w:val="231F20"/>
          <w:sz w:val="20"/>
          <w:szCs w:val="20"/>
        </w:rPr>
        <w:t>retire</w:t>
      </w:r>
      <w:proofErr w:type="gramEnd"/>
      <w:r>
        <w:rPr>
          <w:rFonts w:ascii="Arial" w:eastAsia="Arial" w:hAnsi="Arial" w:cs="Arial"/>
          <w:color w:val="231F20"/>
          <w:sz w:val="20"/>
          <w:szCs w:val="20"/>
        </w:rPr>
        <w:t xml:space="preserve"> when a student’s dissertation is still being written may continue to serve on and chair the committee in question without any further approval or re-approval from the Graduate Division. In instances where the faculty member retires before the doctoral committee is nominated, the retired faculty may serve as a second or third member without special approval from the Graduate Division. Graduate Council approval is required when the faculty member who has retired is nominated to serve as chair of a doctoral </w:t>
      </w:r>
      <w:proofErr w:type="gramStart"/>
      <w:r>
        <w:rPr>
          <w:rFonts w:ascii="Arial" w:eastAsia="Arial" w:hAnsi="Arial" w:cs="Arial"/>
          <w:color w:val="231F20"/>
          <w:sz w:val="20"/>
          <w:szCs w:val="20"/>
        </w:rPr>
        <w:t>committee</w:t>
      </w:r>
      <w:proofErr w:type="gramEnd"/>
      <w:r>
        <w:rPr>
          <w:rFonts w:ascii="Arial" w:eastAsia="Arial" w:hAnsi="Arial" w:cs="Arial"/>
          <w:color w:val="231F20"/>
          <w:sz w:val="20"/>
          <w:szCs w:val="20"/>
        </w:rPr>
        <w:t xml:space="preserve"> and the student has not yet advanced to candidacy or started dissertation work. Emeriti faculty who </w:t>
      </w:r>
      <w:proofErr w:type="gramStart"/>
      <w:r>
        <w:rPr>
          <w:rFonts w:ascii="Arial" w:eastAsia="Arial" w:hAnsi="Arial" w:cs="Arial"/>
          <w:color w:val="231F20"/>
          <w:sz w:val="20"/>
          <w:szCs w:val="20"/>
        </w:rPr>
        <w:t>continue</w:t>
      </w:r>
      <w:proofErr w:type="gramEnd"/>
      <w:r>
        <w:rPr>
          <w:rFonts w:ascii="Arial" w:eastAsia="Arial" w:hAnsi="Arial" w:cs="Arial"/>
          <w:color w:val="231F20"/>
          <w:sz w:val="20"/>
          <w:szCs w:val="20"/>
        </w:rPr>
        <w:t xml:space="preserve"> as “research professors” enjoy the same committee privileges and may chair committees without special approval.</w:t>
      </w:r>
    </w:p>
    <w:p w14:paraId="51FD726F"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31BE591" w14:textId="77777777" w:rsidR="00C4460F" w:rsidRDefault="00000000">
      <w:pPr>
        <w:pStyle w:val="Heading2"/>
        <w:spacing w:line="276" w:lineRule="auto"/>
        <w:rPr>
          <w:rFonts w:ascii="Arial" w:eastAsia="Arial" w:hAnsi="Arial" w:cs="Arial"/>
        </w:rPr>
      </w:pPr>
      <w:r>
        <w:rPr>
          <w:rFonts w:ascii="Arial" w:eastAsia="Arial" w:hAnsi="Arial" w:cs="Arial"/>
        </w:rPr>
        <w:t>Requirement for Advancement to Candidacy</w:t>
      </w:r>
    </w:p>
    <w:p w14:paraId="6042ABF6"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For advancement to candidacy, our department requires the successful completion of:</w:t>
      </w:r>
    </w:p>
    <w:p w14:paraId="78CBF6B9" w14:textId="77777777" w:rsidR="00C4460F" w:rsidRDefault="00000000">
      <w:pPr>
        <w:widowControl w:val="0"/>
        <w:numPr>
          <w:ilvl w:val="0"/>
          <w:numId w:val="10"/>
        </w:numPr>
        <w:pBdr>
          <w:top w:val="nil"/>
          <w:left w:val="nil"/>
          <w:bottom w:val="nil"/>
          <w:right w:val="nil"/>
          <w:between w:val="nil"/>
        </w:pBdr>
        <w:tabs>
          <w:tab w:val="right" w:pos="720"/>
          <w:tab w:val="left" w:pos="953"/>
        </w:tabs>
        <w:spacing w:line="276" w:lineRule="auto"/>
        <w:rPr>
          <w:rFonts w:ascii="Arial" w:eastAsia="Arial" w:hAnsi="Arial" w:cs="Arial"/>
          <w:color w:val="000000"/>
          <w:sz w:val="18"/>
          <w:szCs w:val="18"/>
        </w:rPr>
      </w:pPr>
      <w:r>
        <w:rPr>
          <w:rFonts w:ascii="Arial" w:eastAsia="Arial" w:hAnsi="Arial" w:cs="Arial"/>
          <w:color w:val="231F20"/>
          <w:sz w:val="18"/>
          <w:szCs w:val="18"/>
        </w:rPr>
        <w:t>a written comprehensive examination</w:t>
      </w:r>
    </w:p>
    <w:p w14:paraId="43C51FCD" w14:textId="77777777" w:rsidR="00C4460F" w:rsidRDefault="00000000">
      <w:pPr>
        <w:widowControl w:val="0"/>
        <w:numPr>
          <w:ilvl w:val="0"/>
          <w:numId w:val="10"/>
        </w:numPr>
        <w:pBdr>
          <w:top w:val="nil"/>
          <w:left w:val="nil"/>
          <w:bottom w:val="nil"/>
          <w:right w:val="nil"/>
          <w:between w:val="nil"/>
        </w:pBdr>
        <w:tabs>
          <w:tab w:val="right" w:pos="720"/>
          <w:tab w:val="left" w:pos="953"/>
        </w:tabs>
        <w:spacing w:line="276" w:lineRule="auto"/>
        <w:rPr>
          <w:rFonts w:ascii="Arial" w:eastAsia="Arial" w:hAnsi="Arial" w:cs="Arial"/>
          <w:color w:val="000000"/>
          <w:sz w:val="18"/>
          <w:szCs w:val="18"/>
        </w:rPr>
      </w:pPr>
      <w:r>
        <w:rPr>
          <w:rFonts w:ascii="Arial" w:eastAsia="Arial" w:hAnsi="Arial" w:cs="Arial"/>
          <w:color w:val="231F20"/>
          <w:sz w:val="18"/>
          <w:szCs w:val="18"/>
        </w:rPr>
        <w:t>an approved dissertation proposal</w:t>
      </w:r>
    </w:p>
    <w:p w14:paraId="7C61DA67" w14:textId="77777777" w:rsidR="00C4460F" w:rsidRDefault="00000000">
      <w:pPr>
        <w:widowControl w:val="0"/>
        <w:numPr>
          <w:ilvl w:val="0"/>
          <w:numId w:val="10"/>
        </w:numPr>
        <w:pBdr>
          <w:top w:val="nil"/>
          <w:left w:val="nil"/>
          <w:bottom w:val="nil"/>
          <w:right w:val="nil"/>
          <w:between w:val="nil"/>
        </w:pBdr>
        <w:tabs>
          <w:tab w:val="right" w:pos="720"/>
          <w:tab w:val="left" w:pos="953"/>
        </w:tabs>
        <w:spacing w:line="276" w:lineRule="auto"/>
        <w:rPr>
          <w:rFonts w:ascii="Arial" w:eastAsia="Arial" w:hAnsi="Arial" w:cs="Arial"/>
          <w:color w:val="000000"/>
          <w:sz w:val="18"/>
          <w:szCs w:val="18"/>
        </w:rPr>
      </w:pPr>
      <w:r>
        <w:rPr>
          <w:rFonts w:ascii="Arial" w:eastAsia="Arial" w:hAnsi="Arial" w:cs="Arial"/>
          <w:color w:val="231F20"/>
          <w:sz w:val="18"/>
          <w:szCs w:val="18"/>
        </w:rPr>
        <w:t>an oral qualifying examination</w:t>
      </w:r>
    </w:p>
    <w:p w14:paraId="5104A6F1"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A853941"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Students must be registered the quarter they take qualifying exams. Registration as a graduate student in the Spring quarter maintains graduate status until the beginning of the next Fall quarter. A student who registers in Spring may therefore take examinations or file a dissertation during summer without additional fees. A student who does NOT register in Spring quarter, however, will have to use filing fee status to file a dissertation.</w:t>
      </w:r>
    </w:p>
    <w:p w14:paraId="23F233F4"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DBFDA1B" w14:textId="77777777" w:rsidR="00C4460F" w:rsidRDefault="00000000">
      <w:pPr>
        <w:pStyle w:val="Heading2"/>
        <w:spacing w:line="276" w:lineRule="auto"/>
        <w:rPr>
          <w:rFonts w:ascii="Arial" w:eastAsia="Arial" w:hAnsi="Arial" w:cs="Arial"/>
          <w:b/>
          <w:bCs/>
        </w:rPr>
      </w:pPr>
      <w:bookmarkStart w:id="44" w:name="_heading=h.bk6vuaw1zp93" w:colFirst="0" w:colLast="0"/>
      <w:bookmarkEnd w:id="44"/>
      <w:r>
        <w:rPr>
          <w:rFonts w:ascii="Arial" w:eastAsia="Arial" w:hAnsi="Arial" w:cs="Arial"/>
        </w:rPr>
        <w:t>Written Qualifying Examination</w:t>
      </w:r>
    </w:p>
    <w:p w14:paraId="641EF5B4"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written qualifying examination will be administered by the student’s doctoral committee. Ph.D. written exams will conform to the following standards:</w:t>
      </w:r>
    </w:p>
    <w:p w14:paraId="12C4E790" w14:textId="77777777" w:rsidR="00C4460F" w:rsidRDefault="00000000">
      <w:pPr>
        <w:widowControl w:val="0"/>
        <w:numPr>
          <w:ilvl w:val="0"/>
          <w:numId w:val="11"/>
        </w:numPr>
        <w:pBdr>
          <w:top w:val="nil"/>
          <w:left w:val="nil"/>
          <w:bottom w:val="nil"/>
          <w:right w:val="nil"/>
          <w:between w:val="nil"/>
        </w:pBdr>
        <w:tabs>
          <w:tab w:val="right" w:pos="720"/>
          <w:tab w:val="left" w:pos="767"/>
          <w:tab w:val="left" w:pos="768"/>
        </w:tabs>
        <w:spacing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The exam is composed of three essay questions; once prepared, the committee chair must collect and submit those questions to both the DGS and the GPA </w:t>
      </w:r>
      <w:r>
        <w:rPr>
          <w:rFonts w:ascii="Arial" w:eastAsia="Arial" w:hAnsi="Arial" w:cs="Arial"/>
          <w:i/>
          <w:iCs/>
          <w:color w:val="000000"/>
          <w:sz w:val="18"/>
          <w:szCs w:val="18"/>
        </w:rPr>
        <w:t>at least 48 hours prior to the first exam date</w:t>
      </w:r>
      <w:r>
        <w:rPr>
          <w:rFonts w:ascii="Arial" w:eastAsia="Arial" w:hAnsi="Arial" w:cs="Arial"/>
          <w:color w:val="000000"/>
          <w:sz w:val="18"/>
          <w:szCs w:val="18"/>
        </w:rPr>
        <w:t xml:space="preserve">; in the same email, please specify </w:t>
      </w:r>
      <w:r>
        <w:rPr>
          <w:rFonts w:ascii="Arial" w:eastAsia="Arial" w:hAnsi="Arial" w:cs="Arial"/>
          <w:i/>
          <w:iCs/>
          <w:color w:val="000000"/>
          <w:sz w:val="18"/>
          <w:szCs w:val="18"/>
        </w:rPr>
        <w:t>on which days of the week</w:t>
      </w:r>
      <w:r>
        <w:rPr>
          <w:rFonts w:ascii="Arial" w:eastAsia="Arial" w:hAnsi="Arial" w:cs="Arial"/>
          <w:color w:val="000000"/>
          <w:sz w:val="18"/>
          <w:szCs w:val="18"/>
        </w:rPr>
        <w:t>—Monday, Wednesday, Friday, for instance</w:t>
      </w:r>
      <w:r>
        <w:rPr>
          <w:rFonts w:ascii="Arial" w:eastAsia="Arial" w:hAnsi="Arial" w:cs="Arial"/>
          <w:i/>
          <w:iCs/>
          <w:color w:val="000000"/>
          <w:sz w:val="18"/>
          <w:szCs w:val="18"/>
        </w:rPr>
        <w:t xml:space="preserve">––the student will work on the exam </w:t>
      </w:r>
      <w:r>
        <w:rPr>
          <w:rFonts w:ascii="Arial" w:eastAsia="Arial" w:hAnsi="Arial" w:cs="Arial"/>
          <w:color w:val="000000"/>
          <w:sz w:val="18"/>
          <w:szCs w:val="18"/>
        </w:rPr>
        <w:t>as well.</w:t>
      </w:r>
      <w:r>
        <w:rPr>
          <w:rFonts w:ascii="Arial" w:eastAsia="Arial" w:hAnsi="Arial" w:cs="Arial"/>
          <w:i/>
          <w:iCs/>
          <w:color w:val="000000"/>
          <w:sz w:val="18"/>
          <w:szCs w:val="18"/>
        </w:rPr>
        <w:t xml:space="preserve"> </w:t>
      </w:r>
    </w:p>
    <w:p w14:paraId="26F44BBE" w14:textId="77777777" w:rsidR="00C4460F" w:rsidRDefault="00000000">
      <w:pPr>
        <w:widowControl w:val="0"/>
        <w:numPr>
          <w:ilvl w:val="0"/>
          <w:numId w:val="11"/>
        </w:numPr>
        <w:pBdr>
          <w:top w:val="nil"/>
          <w:left w:val="nil"/>
          <w:bottom w:val="nil"/>
          <w:right w:val="nil"/>
          <w:between w:val="nil"/>
        </w:pBdr>
        <w:tabs>
          <w:tab w:val="right" w:pos="720"/>
          <w:tab w:val="left" w:pos="767"/>
          <w:tab w:val="left" w:pos="768"/>
        </w:tabs>
        <w:spacing w:line="276" w:lineRule="auto"/>
        <w:jc w:val="both"/>
        <w:rPr>
          <w:rFonts w:ascii="Arial" w:eastAsia="Arial" w:hAnsi="Arial" w:cs="Arial"/>
          <w:color w:val="000000"/>
          <w:sz w:val="22"/>
          <w:szCs w:val="22"/>
        </w:rPr>
      </w:pPr>
      <w:r>
        <w:rPr>
          <w:rFonts w:ascii="Arial" w:eastAsia="Arial" w:hAnsi="Arial" w:cs="Arial"/>
          <w:color w:val="000000"/>
          <w:sz w:val="18"/>
          <w:szCs w:val="18"/>
        </w:rPr>
        <w:t xml:space="preserve">The GPA will send the students all three sets of questions </w:t>
      </w:r>
      <w:r>
        <w:rPr>
          <w:rFonts w:ascii="Arial" w:eastAsia="Arial" w:hAnsi="Arial" w:cs="Arial"/>
          <w:i/>
          <w:iCs/>
          <w:color w:val="000000"/>
          <w:sz w:val="18"/>
          <w:szCs w:val="18"/>
        </w:rPr>
        <w:t xml:space="preserve">at </w:t>
      </w:r>
      <w:r>
        <w:rPr>
          <w:rFonts w:ascii="Arial" w:eastAsia="Arial" w:hAnsi="Arial" w:cs="Arial"/>
          <w:i/>
          <w:iCs/>
          <w:sz w:val="18"/>
          <w:szCs w:val="18"/>
        </w:rPr>
        <w:t>9 am</w:t>
      </w:r>
      <w:r>
        <w:rPr>
          <w:rFonts w:ascii="Arial" w:eastAsia="Arial" w:hAnsi="Arial" w:cs="Arial"/>
          <w:i/>
          <w:iCs/>
          <w:color w:val="000000"/>
          <w:sz w:val="18"/>
          <w:szCs w:val="18"/>
        </w:rPr>
        <w:t xml:space="preserve"> on the first day of the exam</w:t>
      </w:r>
      <w:r>
        <w:rPr>
          <w:rFonts w:ascii="Arial" w:eastAsia="Arial" w:hAnsi="Arial" w:cs="Arial"/>
          <w:color w:val="000000"/>
          <w:sz w:val="18"/>
          <w:szCs w:val="18"/>
        </w:rPr>
        <w:t xml:space="preserve">; students are given </w:t>
      </w:r>
      <w:r>
        <w:rPr>
          <w:rFonts w:ascii="Arial" w:eastAsia="Arial" w:hAnsi="Arial" w:cs="Arial"/>
          <w:i/>
          <w:iCs/>
          <w:color w:val="000000"/>
          <w:sz w:val="18"/>
          <w:szCs w:val="18"/>
        </w:rPr>
        <w:t>24 hours to complete and submit their answer for each question</w:t>
      </w:r>
      <w:r>
        <w:rPr>
          <w:rFonts w:ascii="Arial" w:eastAsia="Arial" w:hAnsi="Arial" w:cs="Arial"/>
          <w:color w:val="000000"/>
          <w:sz w:val="18"/>
          <w:szCs w:val="18"/>
        </w:rPr>
        <w:t xml:space="preserve">. If Monday at </w:t>
      </w:r>
      <w:r>
        <w:rPr>
          <w:rFonts w:ascii="Arial" w:eastAsia="Arial" w:hAnsi="Arial" w:cs="Arial"/>
          <w:sz w:val="18"/>
          <w:szCs w:val="18"/>
        </w:rPr>
        <w:t>9 am</w:t>
      </w:r>
      <w:r>
        <w:rPr>
          <w:rFonts w:ascii="Arial" w:eastAsia="Arial" w:hAnsi="Arial" w:cs="Arial"/>
          <w:i/>
          <w:iCs/>
          <w:color w:val="000000"/>
          <w:sz w:val="18"/>
          <w:szCs w:val="18"/>
        </w:rPr>
        <w:t xml:space="preserve"> </w:t>
      </w:r>
      <w:r>
        <w:rPr>
          <w:rFonts w:ascii="Arial" w:eastAsia="Arial" w:hAnsi="Arial" w:cs="Arial"/>
          <w:sz w:val="18"/>
          <w:szCs w:val="18"/>
        </w:rPr>
        <w:t>is</w:t>
      </w:r>
      <w:r>
        <w:rPr>
          <w:rFonts w:ascii="Arial" w:eastAsia="Arial" w:hAnsi="Arial" w:cs="Arial"/>
          <w:color w:val="000000"/>
          <w:sz w:val="18"/>
          <w:szCs w:val="18"/>
        </w:rPr>
        <w:t xml:space="preserve"> chosen as the starting time for essay question no. 1, then the answer must be submitted to both the GPA and the committee chair </w:t>
      </w:r>
      <w:r>
        <w:rPr>
          <w:rFonts w:ascii="Arial" w:eastAsia="Arial" w:hAnsi="Arial" w:cs="Arial"/>
          <w:i/>
          <w:iCs/>
          <w:color w:val="000000"/>
          <w:sz w:val="18"/>
          <w:szCs w:val="18"/>
        </w:rPr>
        <w:t>by Tuesday at 9am</w:t>
      </w:r>
      <w:r>
        <w:rPr>
          <w:rFonts w:ascii="Arial" w:eastAsia="Arial" w:hAnsi="Arial" w:cs="Arial"/>
          <w:color w:val="000000"/>
          <w:sz w:val="18"/>
          <w:szCs w:val="18"/>
        </w:rPr>
        <w:t xml:space="preserve">. </w:t>
      </w:r>
    </w:p>
    <w:p w14:paraId="050A75FE" w14:textId="77777777" w:rsidR="00C4460F" w:rsidRDefault="00000000">
      <w:pPr>
        <w:widowControl w:val="0"/>
        <w:numPr>
          <w:ilvl w:val="0"/>
          <w:numId w:val="11"/>
        </w:numPr>
        <w:pBdr>
          <w:top w:val="nil"/>
          <w:left w:val="nil"/>
          <w:bottom w:val="nil"/>
          <w:right w:val="nil"/>
          <w:between w:val="nil"/>
        </w:pBdr>
        <w:tabs>
          <w:tab w:val="right" w:pos="720"/>
          <w:tab w:val="left" w:pos="767"/>
          <w:tab w:val="left" w:pos="768"/>
        </w:tabs>
        <w:spacing w:line="276" w:lineRule="auto"/>
        <w:jc w:val="both"/>
        <w:rPr>
          <w:rFonts w:ascii="Arial" w:eastAsia="Arial" w:hAnsi="Arial" w:cs="Arial"/>
          <w:color w:val="000000"/>
          <w:sz w:val="22"/>
          <w:szCs w:val="22"/>
        </w:rPr>
      </w:pPr>
      <w:r>
        <w:rPr>
          <w:rFonts w:ascii="Arial" w:eastAsia="Arial" w:hAnsi="Arial" w:cs="Arial"/>
          <w:color w:val="231F20"/>
          <w:sz w:val="18"/>
          <w:szCs w:val="18"/>
        </w:rPr>
        <w:t xml:space="preserve">Students may refer to all resources that will assist with their work during the allotted </w:t>
      </w:r>
      <w:proofErr w:type="gramStart"/>
      <w:r>
        <w:rPr>
          <w:rFonts w:ascii="Arial" w:eastAsia="Arial" w:hAnsi="Arial" w:cs="Arial"/>
          <w:color w:val="231F20"/>
          <w:sz w:val="18"/>
          <w:szCs w:val="18"/>
        </w:rPr>
        <w:t>time period</w:t>
      </w:r>
      <w:proofErr w:type="gramEnd"/>
      <w:r>
        <w:rPr>
          <w:rFonts w:ascii="Arial" w:eastAsia="Arial" w:hAnsi="Arial" w:cs="Arial"/>
          <w:color w:val="231F20"/>
          <w:sz w:val="18"/>
          <w:szCs w:val="18"/>
        </w:rPr>
        <w:t xml:space="preserve"> for each question, and the department will provide special assistance, as needed, for disabled students.</w:t>
      </w:r>
    </w:p>
    <w:p w14:paraId="7D5D4D10" w14:textId="77777777" w:rsidR="00C4460F" w:rsidRDefault="00000000">
      <w:pPr>
        <w:widowControl w:val="0"/>
        <w:numPr>
          <w:ilvl w:val="0"/>
          <w:numId w:val="11"/>
        </w:numPr>
        <w:pBdr>
          <w:top w:val="nil"/>
          <w:left w:val="nil"/>
          <w:bottom w:val="nil"/>
          <w:right w:val="nil"/>
          <w:between w:val="nil"/>
        </w:pBdr>
        <w:tabs>
          <w:tab w:val="right" w:pos="720"/>
          <w:tab w:val="left" w:pos="767"/>
          <w:tab w:val="left" w:pos="768"/>
        </w:tabs>
        <w:spacing w:line="276" w:lineRule="auto"/>
        <w:jc w:val="both"/>
        <w:rPr>
          <w:rFonts w:ascii="Arial" w:eastAsia="Arial" w:hAnsi="Arial" w:cs="Arial"/>
          <w:color w:val="000000"/>
          <w:sz w:val="18"/>
          <w:szCs w:val="18"/>
        </w:rPr>
      </w:pPr>
      <w:r>
        <w:rPr>
          <w:rFonts w:ascii="Arial" w:eastAsia="Arial" w:hAnsi="Arial" w:cs="Arial"/>
          <w:color w:val="000000"/>
          <w:sz w:val="18"/>
          <w:szCs w:val="18"/>
          <w:highlight w:val="white"/>
        </w:rPr>
        <w:lastRenderedPageBreak/>
        <w:t xml:space="preserve">The response will be twelve to twenty double-spaced pages in a 12-point font for each question. </w:t>
      </w:r>
    </w:p>
    <w:p w14:paraId="7F625D10" w14:textId="77777777" w:rsidR="00C4460F" w:rsidRDefault="00000000">
      <w:pPr>
        <w:widowControl w:val="0"/>
        <w:numPr>
          <w:ilvl w:val="0"/>
          <w:numId w:val="11"/>
        </w:numPr>
        <w:pBdr>
          <w:top w:val="nil"/>
          <w:left w:val="nil"/>
          <w:bottom w:val="nil"/>
          <w:right w:val="nil"/>
          <w:between w:val="nil"/>
        </w:pBdr>
        <w:tabs>
          <w:tab w:val="right" w:pos="720"/>
        </w:tabs>
        <w:spacing w:line="276" w:lineRule="auto"/>
        <w:jc w:val="both"/>
        <w:rPr>
          <w:rFonts w:ascii="Arial" w:eastAsia="Arial" w:hAnsi="Arial" w:cs="Arial"/>
          <w:color w:val="000000"/>
          <w:sz w:val="18"/>
          <w:szCs w:val="18"/>
        </w:rPr>
      </w:pPr>
      <w:r>
        <w:rPr>
          <w:rFonts w:ascii="Arial" w:eastAsia="Arial" w:hAnsi="Arial" w:cs="Arial"/>
          <w:color w:val="000000"/>
          <w:sz w:val="18"/>
          <w:szCs w:val="18"/>
          <w:highlight w:val="white"/>
        </w:rPr>
        <w:t>Each student may choose the order of his or her area exams.</w:t>
      </w:r>
    </w:p>
    <w:p w14:paraId="7B99318F"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F0F39CE"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To aid in preparation for the examination, the student, in consultation with the dissertation committee, will develop reading lists for each of the three areas. The reading lists are primarily a guide for study and should not be interpreted as a catalogue of required knowledge. Consult with the chair of your committee for additional suggested reading.</w:t>
      </w:r>
    </w:p>
    <w:p w14:paraId="46295B3E"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B9E3756"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written qualifying examination will normally be administered in the fall quarter of the 3</w:t>
      </w:r>
      <w:r>
        <w:rPr>
          <w:rFonts w:ascii="Arial" w:eastAsia="Arial" w:hAnsi="Arial" w:cs="Arial"/>
          <w:color w:val="231F20"/>
          <w:sz w:val="20"/>
          <w:szCs w:val="20"/>
          <w:vertAlign w:val="superscript"/>
        </w:rPr>
        <w:t>rd</w:t>
      </w:r>
      <w:r>
        <w:rPr>
          <w:rFonts w:ascii="Arial" w:eastAsia="Arial" w:hAnsi="Arial" w:cs="Arial"/>
          <w:color w:val="231F20"/>
          <w:sz w:val="20"/>
          <w:szCs w:val="20"/>
        </w:rPr>
        <w:t xml:space="preserve"> year for PhD only students or fall quarter of the 4</w:t>
      </w:r>
      <w:r>
        <w:rPr>
          <w:rFonts w:ascii="Arial" w:eastAsia="Arial" w:hAnsi="Arial" w:cs="Arial"/>
          <w:color w:val="231F20"/>
          <w:sz w:val="20"/>
          <w:szCs w:val="20"/>
          <w:vertAlign w:val="superscript"/>
        </w:rPr>
        <w:t>th</w:t>
      </w:r>
      <w:r>
        <w:rPr>
          <w:rFonts w:ascii="Arial" w:eastAsia="Arial" w:hAnsi="Arial" w:cs="Arial"/>
          <w:color w:val="231F20"/>
          <w:sz w:val="20"/>
          <w:szCs w:val="20"/>
        </w:rPr>
        <w:t xml:space="preserve"> year for MA/PhD students. Following administration of the examination, the faculty will evaluate the student’s performance in each section. An unsatisfactory section of the examination may be repeated once, in the same quarter, or the quarter immediately following the receipt of the written evaluation.</w:t>
      </w:r>
    </w:p>
    <w:p w14:paraId="3FBDA19A"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8ED7619" w14:textId="77777777" w:rsidR="00C4460F" w:rsidRDefault="00000000">
      <w:pPr>
        <w:pStyle w:val="Heading2"/>
        <w:spacing w:line="276" w:lineRule="auto"/>
        <w:rPr>
          <w:rFonts w:ascii="Arial" w:eastAsia="Arial" w:hAnsi="Arial" w:cs="Arial"/>
          <w:b/>
          <w:bCs/>
        </w:rPr>
      </w:pPr>
      <w:bookmarkStart w:id="45" w:name="_heading=h.tenal8ziftyt" w:colFirst="0" w:colLast="0"/>
      <w:bookmarkEnd w:id="45"/>
      <w:r>
        <w:rPr>
          <w:rFonts w:ascii="Arial" w:eastAsia="Arial" w:hAnsi="Arial" w:cs="Arial"/>
        </w:rPr>
        <w:t>Dissertation Prospectus</w:t>
      </w:r>
    </w:p>
    <w:p w14:paraId="78D87F29"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Prior to the oral qualifying examination, the student will prepare a dissertation prospectus which describes the dissertation topic, summarizes the relevant background literature, and presents a comprehensive research plan for their doctoral dissertation, including a timetable and budget which identifies any financial support essential to preparation of the dissertation. This prospectus must be approved by all members of the student’s doctoral committee. Students should be aware that the first draft of the prospectus is highly unlikely to be accepted as submitted.</w:t>
      </w:r>
    </w:p>
    <w:p w14:paraId="24933F2F"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FEBA825" w14:textId="77777777" w:rsidR="00C4460F" w:rsidRDefault="00000000">
      <w:pPr>
        <w:pStyle w:val="Heading2"/>
        <w:spacing w:line="276" w:lineRule="auto"/>
        <w:rPr>
          <w:rFonts w:ascii="Arial" w:eastAsia="Arial" w:hAnsi="Arial" w:cs="Arial"/>
          <w:b/>
          <w:bCs/>
        </w:rPr>
      </w:pPr>
      <w:bookmarkStart w:id="46" w:name="_heading=h.2jfy9qmgqi3b" w:colFirst="0" w:colLast="0"/>
      <w:bookmarkEnd w:id="46"/>
      <w:r>
        <w:rPr>
          <w:rFonts w:ascii="Arial" w:eastAsia="Arial" w:hAnsi="Arial" w:cs="Arial"/>
        </w:rPr>
        <w:t>Oral Qualifying Examination</w:t>
      </w:r>
    </w:p>
    <w:p w14:paraId="4E9E6483"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Having successfully completed the diagnostic interview, written comprehensive examination and dissertation prospectus, the student’s doctoral committee will conduct an oral qualifying examination. Graduate Division regulations require that three consecutive quarters of residence must be completed prior to taking the oral qualifying exam. Students take their oral qualifying exams in fall of the 3rd year of the PhD program (for PhD-only students) and in fall of the 4th year for MA/PhD students. The general objective of this examination is to ensure that the student possesses the full knowledge and competence required to carry out his or her dissertation research. Thus, the examination will emphasize (but not necessarily be limited to) the systematic and technical areas relevant to the student’s proposed dissertation research. Following the examination, the committee members shall vote “Pass”, “Pass with Conditions” or “Fail” on the student’s level of preparation. A majority of passing votes will be required for advancement to candidacy. This examination is usually open only to voting committee members.</w:t>
      </w:r>
    </w:p>
    <w:p w14:paraId="2D82E3F6"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1701D33" w14:textId="77777777" w:rsidR="00C4460F" w:rsidRDefault="00000000">
      <w:pPr>
        <w:pStyle w:val="Heading2"/>
        <w:spacing w:line="276" w:lineRule="auto"/>
        <w:rPr>
          <w:rFonts w:ascii="Arial" w:eastAsia="Arial" w:hAnsi="Arial" w:cs="Arial"/>
          <w:b/>
          <w:bCs/>
        </w:rPr>
      </w:pPr>
      <w:bookmarkStart w:id="47" w:name="_heading=h.tjp7uolfpdy" w:colFirst="0" w:colLast="0"/>
      <w:bookmarkEnd w:id="47"/>
      <w:r>
        <w:rPr>
          <w:rFonts w:ascii="Arial" w:eastAsia="Arial" w:hAnsi="Arial" w:cs="Arial"/>
        </w:rPr>
        <w:t>Advancement to Candidacy</w:t>
      </w:r>
    </w:p>
    <w:p w14:paraId="151CF649"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A student is advanced to candidacy for the Ph.D. after completing all course requirements and residence requirements, passing the written and oral qualifying exams, having their Advancement to Candidacy Action complete in </w:t>
      </w:r>
      <w:proofErr w:type="spellStart"/>
      <w:r>
        <w:rPr>
          <w:rFonts w:ascii="Arial" w:eastAsia="Arial" w:hAnsi="Arial" w:cs="Arial"/>
          <w:color w:val="231F20"/>
          <w:sz w:val="20"/>
          <w:szCs w:val="20"/>
        </w:rPr>
        <w:t>GradPoint</w:t>
      </w:r>
      <w:proofErr w:type="spellEnd"/>
      <w:r>
        <w:rPr>
          <w:rFonts w:ascii="Arial" w:eastAsia="Arial" w:hAnsi="Arial" w:cs="Arial"/>
          <w:color w:val="231F20"/>
          <w:sz w:val="20"/>
          <w:szCs w:val="20"/>
        </w:rPr>
        <w:t>, and paying the $50.00 advancement to candidacy fee. Students with Incompletes, NG or NR grades on their record are ineligible to advance to candidacy until they have been removed. Following advancement, the student will normally devote full-time effort during the academic year to carrying out the research for, and writing of, the doctoral dissertation. Graduate Division regulations require that the student be registered and enrolled continuously during this time.</w:t>
      </w:r>
    </w:p>
    <w:p w14:paraId="1321104F"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67B6C9B"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Students are reminded that they have until the last workday before the next quarter officially begins (as indicated in the quarterly Schedule of Classes) to officially advance to candidacy, including paying the $50 advancement fee at Graduate Division.</w:t>
      </w:r>
    </w:p>
    <w:p w14:paraId="78026234"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E7E5450"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lastRenderedPageBreak/>
        <w:t>Students whose fees are paid under a research grant or through external funding are not eligible for the Doctoral Fee Offset. Students whose fees are paid because they qualify as TAs for TA Fee Offsets will receive a combined Fee Offset total up to what the Doctoral Fee Offset maximum pays. Continuation of the Doctoral Fee Offset Program is subject to funds being available.</w:t>
      </w:r>
    </w:p>
    <w:p w14:paraId="1F753870"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F02DD14"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After advancing to doctoral candidacy, a student’s class level changes to P2 the next registered quarter, non-resident supplemental tuition is waived for three years (if applicable), and additional borrowing privileges are granted at the Davidson Library. Advancement fees help support graduate student Career and Professional Development resources and events.</w:t>
      </w:r>
    </w:p>
    <w:p w14:paraId="5BE8318A"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5C15CE9" w14:textId="77777777" w:rsidR="00C4460F" w:rsidRDefault="00000000">
      <w:pPr>
        <w:tabs>
          <w:tab w:val="right" w:pos="720"/>
        </w:tabs>
        <w:spacing w:line="276" w:lineRule="auto"/>
        <w:jc w:val="both"/>
        <w:rPr>
          <w:rFonts w:ascii="Arial" w:eastAsia="Arial" w:hAnsi="Arial" w:cs="Arial"/>
          <w:color w:val="231F20"/>
          <w:sz w:val="20"/>
          <w:szCs w:val="20"/>
        </w:rPr>
      </w:pPr>
      <w:r>
        <w:rPr>
          <w:rFonts w:ascii="Arial" w:eastAsia="Arial" w:hAnsi="Arial" w:cs="Arial"/>
          <w:color w:val="231F20"/>
          <w:sz w:val="20"/>
          <w:szCs w:val="20"/>
        </w:rPr>
        <w:t>UCSB’s Graduate Council has approved a four-year time limit for advancement to Ph.D. candidacy for all graduate students. Any exception to the policy must be requested by the home department on behalf of each graduate student.</w:t>
      </w:r>
    </w:p>
    <w:p w14:paraId="1616586C" w14:textId="77777777" w:rsidR="00C4460F" w:rsidRDefault="00C4460F">
      <w:pPr>
        <w:tabs>
          <w:tab w:val="right" w:pos="720"/>
        </w:tabs>
        <w:spacing w:line="276" w:lineRule="auto"/>
        <w:jc w:val="both"/>
        <w:rPr>
          <w:rFonts w:ascii="Arial" w:eastAsia="Arial" w:hAnsi="Arial" w:cs="Arial"/>
          <w:sz w:val="20"/>
          <w:szCs w:val="20"/>
        </w:rPr>
      </w:pPr>
    </w:p>
    <w:p w14:paraId="724AF1C9" w14:textId="77777777" w:rsidR="00C4460F" w:rsidRDefault="00000000">
      <w:pPr>
        <w:pStyle w:val="Heading2"/>
        <w:spacing w:line="276" w:lineRule="auto"/>
        <w:rPr>
          <w:rFonts w:ascii="Arial" w:eastAsia="Arial" w:hAnsi="Arial" w:cs="Arial"/>
          <w:b/>
          <w:bCs/>
        </w:rPr>
      </w:pPr>
      <w:bookmarkStart w:id="48" w:name="_heading=h.8wpplu9qlyt5" w:colFirst="0" w:colLast="0"/>
      <w:bookmarkEnd w:id="48"/>
      <w:r>
        <w:rPr>
          <w:rFonts w:ascii="Arial" w:eastAsia="Arial" w:hAnsi="Arial" w:cs="Arial"/>
        </w:rPr>
        <w:t>Dissertation Defense</w:t>
      </w:r>
    </w:p>
    <w:p w14:paraId="402AA1F5"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Following the completion of doctoral research, each candidate for the Ph.D. degree must present a dissertation demonstrating the ability to contribute significantly and independently to the major field. The candidate’s doctoral committee guides the student in this work and judges the merit of the completed dissertation. Approval of this dissertation by each member of the doctoral committee is required for the </w:t>
      </w:r>
      <w:proofErr w:type="gramStart"/>
      <w:r>
        <w:rPr>
          <w:rFonts w:ascii="Arial" w:eastAsia="Arial" w:hAnsi="Arial" w:cs="Arial"/>
          <w:color w:val="231F20"/>
          <w:sz w:val="20"/>
          <w:szCs w:val="20"/>
        </w:rPr>
        <w:t>degree .</w:t>
      </w:r>
      <w:proofErr w:type="gramEnd"/>
      <w:r>
        <w:rPr>
          <w:rFonts w:ascii="Arial" w:eastAsia="Arial" w:hAnsi="Arial" w:cs="Arial"/>
          <w:color w:val="231F20"/>
          <w:sz w:val="20"/>
          <w:szCs w:val="20"/>
        </w:rPr>
        <w:t xml:space="preserve"> After receipt of the final draft of the dissertation, a formal oral defense will be scheduled with the dissertation committee. The Graduate Division cannot award a degree until a Doctoral Form III is received from the department indicating that the student has successfully defended the dissertation. All approved committee members must sign Form III. These signatures must be the same as the signatures appearing on the approval pages of the dissertation.</w:t>
      </w:r>
    </w:p>
    <w:p w14:paraId="3E940A19"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0542F9B"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defense may be waived only in unusual circumstances, with the unanimous consent of the candidate’s doctoral committee and the Department Chair, using Doctoral Form III-A. (Senate Regulation 355C). Please note that Ph.D. students must ask their dissertation committee members if they would prefer to receive a printed copy of the dissertation in addition to the digital file, and the Ph.D. candidate must provide a printed copy if needed.</w:t>
      </w:r>
    </w:p>
    <w:p w14:paraId="48B334EF"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E0296AF"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45B7397" w14:textId="77777777" w:rsidR="00C4460F" w:rsidRDefault="00000000">
      <w:pPr>
        <w:pStyle w:val="Heading2"/>
        <w:spacing w:line="276" w:lineRule="auto"/>
        <w:rPr>
          <w:rFonts w:ascii="Arial" w:eastAsia="Arial" w:hAnsi="Arial" w:cs="Arial"/>
          <w:b/>
          <w:bCs/>
        </w:rPr>
      </w:pPr>
      <w:bookmarkStart w:id="49" w:name="_heading=h.vz0mkax1bdvc" w:colFirst="0" w:colLast="0"/>
      <w:bookmarkEnd w:id="49"/>
      <w:r>
        <w:rPr>
          <w:rFonts w:ascii="Arial" w:eastAsia="Arial" w:hAnsi="Arial" w:cs="Arial"/>
        </w:rPr>
        <w:t xml:space="preserve">Interdisciplinary Ph.D. Program Emphases </w:t>
      </w:r>
    </w:p>
    <w:p w14:paraId="236E54A7"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Students pursuing a Ph.D. may petition to add areas of emphasis in:</w:t>
      </w:r>
    </w:p>
    <w:p w14:paraId="5AB25A9D" w14:textId="77777777" w:rsidR="00C4460F" w:rsidRDefault="00000000">
      <w:pPr>
        <w:widowControl w:val="0"/>
        <w:numPr>
          <w:ilvl w:val="0"/>
          <w:numId w:val="14"/>
        </w:numPr>
        <w:pBdr>
          <w:top w:val="nil"/>
          <w:left w:val="nil"/>
          <w:bottom w:val="nil"/>
          <w:right w:val="nil"/>
          <w:between w:val="nil"/>
        </w:pBdr>
        <w:tabs>
          <w:tab w:val="left" w:pos="320"/>
          <w:tab w:val="left" w:pos="360"/>
          <w:tab w:val="right" w:pos="720"/>
        </w:tabs>
        <w:spacing w:line="276" w:lineRule="auto"/>
        <w:jc w:val="both"/>
        <w:rPr>
          <w:rFonts w:ascii="Arial" w:eastAsia="Arial" w:hAnsi="Arial" w:cs="Arial"/>
          <w:color w:val="000000"/>
          <w:sz w:val="18"/>
          <w:szCs w:val="18"/>
        </w:rPr>
      </w:pPr>
      <w:r>
        <w:rPr>
          <w:rFonts w:ascii="Arial" w:eastAsia="Arial" w:hAnsi="Arial" w:cs="Arial"/>
          <w:color w:val="231F20"/>
          <w:sz w:val="18"/>
          <w:szCs w:val="18"/>
        </w:rPr>
        <w:t>Feminist Studies</w:t>
      </w:r>
    </w:p>
    <w:p w14:paraId="074B31F9" w14:textId="77777777" w:rsidR="00C4460F" w:rsidRDefault="00000000">
      <w:pPr>
        <w:widowControl w:val="0"/>
        <w:numPr>
          <w:ilvl w:val="0"/>
          <w:numId w:val="14"/>
        </w:numPr>
        <w:pBdr>
          <w:top w:val="nil"/>
          <w:left w:val="nil"/>
          <w:bottom w:val="nil"/>
          <w:right w:val="nil"/>
          <w:between w:val="nil"/>
        </w:pBdr>
        <w:tabs>
          <w:tab w:val="left" w:pos="320"/>
          <w:tab w:val="left" w:pos="360"/>
          <w:tab w:val="right" w:pos="720"/>
        </w:tabs>
        <w:spacing w:line="276" w:lineRule="auto"/>
        <w:jc w:val="both"/>
        <w:rPr>
          <w:rFonts w:ascii="Arial" w:eastAsia="Arial" w:hAnsi="Arial" w:cs="Arial"/>
          <w:color w:val="000000"/>
          <w:sz w:val="18"/>
          <w:szCs w:val="18"/>
        </w:rPr>
      </w:pPr>
      <w:r>
        <w:rPr>
          <w:rFonts w:ascii="Arial" w:eastAsia="Arial" w:hAnsi="Arial" w:cs="Arial"/>
          <w:color w:val="231F20"/>
          <w:sz w:val="18"/>
          <w:szCs w:val="18"/>
        </w:rPr>
        <w:t>Global and International Studies</w:t>
      </w:r>
    </w:p>
    <w:p w14:paraId="6AC8D760" w14:textId="77777777" w:rsidR="00C4460F" w:rsidRDefault="00000000">
      <w:pPr>
        <w:widowControl w:val="0"/>
        <w:numPr>
          <w:ilvl w:val="0"/>
          <w:numId w:val="14"/>
        </w:numPr>
        <w:pBdr>
          <w:top w:val="nil"/>
          <w:left w:val="nil"/>
          <w:bottom w:val="nil"/>
          <w:right w:val="nil"/>
          <w:between w:val="nil"/>
        </w:pBdr>
        <w:tabs>
          <w:tab w:val="left" w:pos="360"/>
          <w:tab w:val="right" w:pos="720"/>
        </w:tabs>
        <w:spacing w:line="276" w:lineRule="auto"/>
        <w:jc w:val="both"/>
        <w:rPr>
          <w:rFonts w:ascii="Arial" w:eastAsia="Arial" w:hAnsi="Arial" w:cs="Arial"/>
          <w:color w:val="000000"/>
          <w:sz w:val="18"/>
          <w:szCs w:val="18"/>
        </w:rPr>
      </w:pPr>
      <w:r>
        <w:rPr>
          <w:rFonts w:ascii="Arial" w:eastAsia="Arial" w:hAnsi="Arial" w:cs="Arial"/>
          <w:color w:val="231F20"/>
          <w:sz w:val="18"/>
          <w:szCs w:val="18"/>
        </w:rPr>
        <w:t>Environment and Society</w:t>
      </w:r>
    </w:p>
    <w:p w14:paraId="35FB6760"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8B99E20"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These interdisciplinary programs are comprised of faculty from the Ph.D. programs in these fields. The goal of these program emphases is to give students an appreciation of other disciplinary modes study and analysis, research and critical methodologies and techniques. The program features structured sets of courses, which are taught individually and collaboratively by faculty from a variety of disciplines and from the humanities and social sciences.</w:t>
      </w:r>
    </w:p>
    <w:p w14:paraId="53F3F9B5"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1BF648D"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Students who petition to add an emphasis must fulfill the following requirements in addition to the requirements of the Ph.D. in Film and Media Studies: </w:t>
      </w:r>
    </w:p>
    <w:p w14:paraId="36816039" w14:textId="77777777" w:rsidR="00C4460F" w:rsidRDefault="00000000">
      <w:pPr>
        <w:widowControl w:val="0"/>
        <w:numPr>
          <w:ilvl w:val="0"/>
          <w:numId w:val="12"/>
        </w:numPr>
        <w:pBdr>
          <w:top w:val="nil"/>
          <w:left w:val="nil"/>
          <w:bottom w:val="nil"/>
          <w:right w:val="nil"/>
          <w:between w:val="nil"/>
        </w:pBdr>
        <w:tabs>
          <w:tab w:val="right" w:pos="720"/>
        </w:tabs>
        <w:spacing w:line="276" w:lineRule="auto"/>
        <w:ind w:right="117"/>
        <w:jc w:val="both"/>
        <w:rPr>
          <w:rFonts w:ascii="Arial" w:eastAsia="Arial" w:hAnsi="Arial" w:cs="Arial"/>
          <w:color w:val="231F20"/>
          <w:sz w:val="18"/>
          <w:szCs w:val="18"/>
        </w:rPr>
      </w:pPr>
      <w:r>
        <w:rPr>
          <w:rFonts w:ascii="Arial" w:eastAsia="Arial" w:hAnsi="Arial" w:cs="Arial"/>
          <w:color w:val="231F20"/>
          <w:sz w:val="18"/>
          <w:szCs w:val="18"/>
        </w:rPr>
        <w:t>Participation for at least three quarters in the emphasis of choice</w:t>
      </w:r>
    </w:p>
    <w:p w14:paraId="1C552CDF" w14:textId="77777777" w:rsidR="00C4460F" w:rsidRDefault="00000000">
      <w:pPr>
        <w:widowControl w:val="0"/>
        <w:numPr>
          <w:ilvl w:val="0"/>
          <w:numId w:val="12"/>
        </w:numPr>
        <w:pBdr>
          <w:top w:val="nil"/>
          <w:left w:val="nil"/>
          <w:bottom w:val="nil"/>
          <w:right w:val="nil"/>
          <w:between w:val="nil"/>
        </w:pBdr>
        <w:tabs>
          <w:tab w:val="right" w:pos="720"/>
        </w:tabs>
        <w:spacing w:line="276" w:lineRule="auto"/>
        <w:ind w:right="117"/>
        <w:jc w:val="both"/>
        <w:rPr>
          <w:rFonts w:ascii="Arial" w:eastAsia="Arial" w:hAnsi="Arial" w:cs="Arial"/>
          <w:color w:val="231F20"/>
          <w:sz w:val="18"/>
          <w:szCs w:val="18"/>
        </w:rPr>
      </w:pPr>
      <w:r>
        <w:rPr>
          <w:rFonts w:ascii="Arial" w:eastAsia="Arial" w:hAnsi="Arial" w:cs="Arial"/>
          <w:color w:val="231F20"/>
          <w:sz w:val="18"/>
          <w:szCs w:val="18"/>
        </w:rPr>
        <w:t>Completion of at least three elective courses in the emphasis</w:t>
      </w:r>
    </w:p>
    <w:p w14:paraId="0AA72967" w14:textId="77777777" w:rsidR="00C4460F" w:rsidRDefault="00000000">
      <w:pPr>
        <w:widowControl w:val="0"/>
        <w:numPr>
          <w:ilvl w:val="0"/>
          <w:numId w:val="12"/>
        </w:numPr>
        <w:pBdr>
          <w:top w:val="nil"/>
          <w:left w:val="nil"/>
          <w:bottom w:val="nil"/>
          <w:right w:val="nil"/>
          <w:between w:val="nil"/>
        </w:pBdr>
        <w:tabs>
          <w:tab w:val="right" w:pos="720"/>
        </w:tabs>
        <w:spacing w:line="276" w:lineRule="auto"/>
        <w:ind w:right="117"/>
        <w:jc w:val="both"/>
        <w:rPr>
          <w:rFonts w:ascii="Arial" w:eastAsia="Arial" w:hAnsi="Arial" w:cs="Arial"/>
          <w:color w:val="231F20"/>
          <w:sz w:val="18"/>
          <w:szCs w:val="18"/>
        </w:rPr>
      </w:pPr>
      <w:r>
        <w:rPr>
          <w:rFonts w:ascii="Arial" w:eastAsia="Arial" w:hAnsi="Arial" w:cs="Arial"/>
          <w:color w:val="231F20"/>
          <w:sz w:val="18"/>
          <w:szCs w:val="18"/>
        </w:rPr>
        <w:t xml:space="preserve">Completion of either (a) a research project, completed before the dissertation, resulting in a publishable paper, </w:t>
      </w:r>
      <w:r>
        <w:rPr>
          <w:rFonts w:ascii="Arial" w:eastAsia="Arial" w:hAnsi="Arial" w:cs="Arial"/>
          <w:color w:val="231F20"/>
          <w:sz w:val="18"/>
          <w:szCs w:val="18"/>
        </w:rPr>
        <w:lastRenderedPageBreak/>
        <w:t>or (b) an extramural grant proposal for a study suitable for submission to an identified granting agency</w:t>
      </w:r>
    </w:p>
    <w:p w14:paraId="49EC0559" w14:textId="77777777" w:rsidR="00C4460F" w:rsidRDefault="00000000">
      <w:pPr>
        <w:widowControl w:val="0"/>
        <w:numPr>
          <w:ilvl w:val="0"/>
          <w:numId w:val="12"/>
        </w:numPr>
        <w:pBdr>
          <w:top w:val="nil"/>
          <w:left w:val="nil"/>
          <w:bottom w:val="nil"/>
          <w:right w:val="nil"/>
          <w:between w:val="nil"/>
        </w:pBdr>
        <w:tabs>
          <w:tab w:val="right" w:pos="720"/>
        </w:tabs>
        <w:spacing w:line="276" w:lineRule="auto"/>
        <w:ind w:right="117"/>
        <w:jc w:val="both"/>
        <w:rPr>
          <w:rFonts w:ascii="Arial" w:eastAsia="Arial" w:hAnsi="Arial" w:cs="Arial"/>
          <w:color w:val="231F20"/>
          <w:sz w:val="18"/>
          <w:szCs w:val="18"/>
        </w:rPr>
      </w:pPr>
      <w:r>
        <w:rPr>
          <w:rFonts w:ascii="Arial" w:eastAsia="Arial" w:hAnsi="Arial" w:cs="Arial"/>
          <w:color w:val="231F20"/>
          <w:sz w:val="18"/>
          <w:szCs w:val="18"/>
        </w:rPr>
        <w:t>Presentation of a research paper in suitable academic forum, such as an emphasis or departmental colloquium, or a professional meeting</w:t>
      </w:r>
    </w:p>
    <w:p w14:paraId="7E95F242" w14:textId="77777777" w:rsidR="00C4460F" w:rsidRDefault="00000000">
      <w:pPr>
        <w:widowControl w:val="0"/>
        <w:numPr>
          <w:ilvl w:val="0"/>
          <w:numId w:val="12"/>
        </w:numPr>
        <w:pBdr>
          <w:top w:val="nil"/>
          <w:left w:val="nil"/>
          <w:bottom w:val="nil"/>
          <w:right w:val="nil"/>
          <w:between w:val="nil"/>
        </w:pBdr>
        <w:tabs>
          <w:tab w:val="right" w:pos="720"/>
        </w:tabs>
        <w:spacing w:line="276" w:lineRule="auto"/>
        <w:ind w:right="117"/>
        <w:jc w:val="both"/>
        <w:rPr>
          <w:rFonts w:ascii="Arial" w:eastAsia="Arial" w:hAnsi="Arial" w:cs="Arial"/>
          <w:color w:val="231F20"/>
          <w:sz w:val="18"/>
          <w:szCs w:val="18"/>
        </w:rPr>
      </w:pPr>
      <w:r>
        <w:rPr>
          <w:rFonts w:ascii="Arial" w:eastAsia="Arial" w:hAnsi="Arial" w:cs="Arial"/>
          <w:color w:val="231F20"/>
          <w:sz w:val="18"/>
          <w:szCs w:val="18"/>
        </w:rPr>
        <w:t>Writing a Ph.D. dissertation encompassing a question emerging from the specific emphasis</w:t>
      </w:r>
    </w:p>
    <w:p w14:paraId="597BC064"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B90A440"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br w:type="page"/>
      </w:r>
    </w:p>
    <w:p w14:paraId="76FA28FA"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602F714" w14:textId="77777777" w:rsidR="00C4460F" w:rsidRDefault="00000000">
      <w:pPr>
        <w:pStyle w:val="Heading1"/>
        <w:tabs>
          <w:tab w:val="right" w:pos="720"/>
        </w:tabs>
        <w:spacing w:line="276" w:lineRule="auto"/>
        <w:ind w:left="0"/>
        <w:jc w:val="both"/>
        <w:rPr>
          <w:rFonts w:ascii="Arial" w:eastAsia="Arial" w:hAnsi="Arial" w:cs="Arial"/>
          <w:b w:val="0"/>
          <w:bCs w:val="0"/>
          <w:color w:val="231F20"/>
        </w:rPr>
      </w:pPr>
      <w:bookmarkStart w:id="50" w:name="_heading=h.nkj3wdrt2ywg" w:colFirst="0" w:colLast="0"/>
      <w:bookmarkEnd w:id="50"/>
      <w:r>
        <w:rPr>
          <w:rFonts w:ascii="Arial" w:eastAsia="Arial" w:hAnsi="Arial" w:cs="Arial"/>
          <w:b w:val="0"/>
          <w:bCs w:val="0"/>
          <w:color w:val="231F20"/>
        </w:rPr>
        <w:t>Ph.D. DEGREE – FORMS, REQUIREMENTS, PROCEDURES</w:t>
      </w:r>
    </w:p>
    <w:p w14:paraId="6ACDA8A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Please keep in mind that you are ultimately responsible for making sure that all forms, fees, documents, etc. are filed </w:t>
      </w:r>
      <w:proofErr w:type="gramStart"/>
      <w:r>
        <w:rPr>
          <w:rFonts w:ascii="Arial" w:eastAsia="Arial" w:hAnsi="Arial" w:cs="Arial"/>
          <w:color w:val="231F20"/>
          <w:sz w:val="20"/>
          <w:szCs w:val="20"/>
        </w:rPr>
        <w:t>in order to</w:t>
      </w:r>
      <w:proofErr w:type="gramEnd"/>
      <w:r>
        <w:rPr>
          <w:rFonts w:ascii="Arial" w:eastAsia="Arial" w:hAnsi="Arial" w:cs="Arial"/>
          <w:color w:val="231F20"/>
          <w:sz w:val="20"/>
          <w:szCs w:val="20"/>
        </w:rPr>
        <w:t xml:space="preserve"> fulfill the requirements of the degree. For all participating students during a given quarter, the Director of Graduate Studies will announce the updated PhD Exam and Milestone logistical procedures. It is the student’s responsibility to oversee that the next 5 Steps are all completed:</w:t>
      </w:r>
    </w:p>
    <w:p w14:paraId="6ECB3E1E" w14:textId="77777777" w:rsidR="00C4460F" w:rsidRDefault="00C4460F">
      <w:pPr>
        <w:spacing w:line="276" w:lineRule="auto"/>
        <w:jc w:val="both"/>
        <w:rPr>
          <w:rFonts w:ascii="Arial" w:eastAsia="Arial" w:hAnsi="Arial" w:cs="Arial"/>
          <w:color w:val="231F20"/>
          <w:sz w:val="20"/>
          <w:szCs w:val="20"/>
        </w:rPr>
      </w:pPr>
    </w:p>
    <w:p w14:paraId="061AFB10" w14:textId="77777777" w:rsidR="00C4460F" w:rsidRDefault="00000000">
      <w:pPr>
        <w:numPr>
          <w:ilvl w:val="0"/>
          <w:numId w:val="5"/>
        </w:numPr>
        <w:spacing w:line="276" w:lineRule="auto"/>
        <w:jc w:val="both"/>
        <w:rPr>
          <w:rFonts w:ascii="Arial" w:eastAsia="Arial" w:hAnsi="Arial" w:cs="Arial"/>
          <w:color w:val="231F20"/>
          <w:sz w:val="20"/>
          <w:szCs w:val="20"/>
        </w:rPr>
      </w:pPr>
      <w:r>
        <w:rPr>
          <w:rFonts w:ascii="Arial" w:eastAsia="Arial" w:hAnsi="Arial" w:cs="Arial"/>
          <w:color w:val="231F20"/>
          <w:sz w:val="20"/>
          <w:szCs w:val="20"/>
        </w:rPr>
        <w:t xml:space="preserve">Committee Nomination - this is a student-initiated workflow, with a step-by-step video tutorial found on the </w:t>
      </w:r>
      <w:hyperlink r:id="rId29" w:anchor="How-to">
        <w:r>
          <w:rPr>
            <w:rFonts w:ascii="Arial" w:eastAsia="Arial" w:hAnsi="Arial" w:cs="Arial"/>
            <w:color w:val="1155CC"/>
            <w:sz w:val="20"/>
            <w:szCs w:val="20"/>
            <w:u w:val="single"/>
          </w:rPr>
          <w:t>Graduate Division’s website</w:t>
        </w:r>
      </w:hyperlink>
      <w:r>
        <w:rPr>
          <w:rFonts w:ascii="Arial" w:eastAsia="Arial" w:hAnsi="Arial" w:cs="Arial"/>
          <w:color w:val="231F20"/>
          <w:sz w:val="20"/>
          <w:szCs w:val="20"/>
        </w:rPr>
        <w:t xml:space="preserve">. On the Committees page, scroll to “How to Nominate a </w:t>
      </w:r>
      <w:proofErr w:type="gramStart"/>
      <w:r>
        <w:rPr>
          <w:rFonts w:ascii="Arial" w:eastAsia="Arial" w:hAnsi="Arial" w:cs="Arial"/>
          <w:color w:val="231F20"/>
          <w:sz w:val="20"/>
          <w:szCs w:val="20"/>
        </w:rPr>
        <w:t>Committee</w:t>
      </w:r>
      <w:proofErr w:type="gramEnd"/>
      <w:r>
        <w:rPr>
          <w:rFonts w:ascii="Arial" w:eastAsia="Arial" w:hAnsi="Arial" w:cs="Arial"/>
          <w:color w:val="231F20"/>
          <w:sz w:val="20"/>
          <w:szCs w:val="20"/>
        </w:rPr>
        <w:t xml:space="preserve">”. Once this process is completed, the student’s chosen committee will populate on their </w:t>
      </w:r>
      <w:proofErr w:type="spellStart"/>
      <w:r>
        <w:rPr>
          <w:rFonts w:ascii="Arial" w:eastAsia="Arial" w:hAnsi="Arial" w:cs="Arial"/>
          <w:color w:val="231F20"/>
          <w:sz w:val="20"/>
          <w:szCs w:val="20"/>
        </w:rPr>
        <w:t>GradPoint</w:t>
      </w:r>
      <w:proofErr w:type="spellEnd"/>
      <w:r>
        <w:rPr>
          <w:rFonts w:ascii="Arial" w:eastAsia="Arial" w:hAnsi="Arial" w:cs="Arial"/>
          <w:color w:val="231F20"/>
          <w:sz w:val="20"/>
          <w:szCs w:val="20"/>
        </w:rPr>
        <w:t xml:space="preserve"> profiles, along with contact information for each member. </w:t>
      </w:r>
    </w:p>
    <w:p w14:paraId="541E5985" w14:textId="77777777" w:rsidR="00C4460F" w:rsidRDefault="00C4460F">
      <w:pPr>
        <w:spacing w:line="276" w:lineRule="auto"/>
        <w:ind w:left="720"/>
        <w:jc w:val="both"/>
        <w:rPr>
          <w:rFonts w:ascii="Arial" w:eastAsia="Arial" w:hAnsi="Arial" w:cs="Arial"/>
          <w:color w:val="231F20"/>
          <w:sz w:val="20"/>
          <w:szCs w:val="20"/>
        </w:rPr>
      </w:pPr>
    </w:p>
    <w:p w14:paraId="2B5D32D0" w14:textId="77777777" w:rsidR="00C4460F" w:rsidRDefault="00000000">
      <w:pPr>
        <w:numPr>
          <w:ilvl w:val="0"/>
          <w:numId w:val="5"/>
        </w:numPr>
        <w:spacing w:line="276" w:lineRule="auto"/>
        <w:jc w:val="both"/>
        <w:rPr>
          <w:rFonts w:ascii="Arial" w:eastAsia="Arial" w:hAnsi="Arial" w:cs="Arial"/>
          <w:color w:val="231F20"/>
          <w:sz w:val="20"/>
          <w:szCs w:val="20"/>
        </w:rPr>
      </w:pPr>
      <w:r>
        <w:rPr>
          <w:rFonts w:ascii="Arial" w:eastAsia="Arial" w:hAnsi="Arial" w:cs="Arial"/>
          <w:color w:val="231F20"/>
          <w:sz w:val="20"/>
          <w:szCs w:val="20"/>
        </w:rPr>
        <w:t xml:space="preserve">Advancement to Candidacy - this is a Graduate Program Advisor-initiated workflow, although the student has the option to initiate it themselves. Once a student completes their Written and Oral qualifying exams, the Graduate Program Advisor initiates the Advancement to Candidacy action through </w:t>
      </w:r>
      <w:proofErr w:type="spellStart"/>
      <w:r>
        <w:rPr>
          <w:rFonts w:ascii="Arial" w:eastAsia="Arial" w:hAnsi="Arial" w:cs="Arial"/>
          <w:color w:val="231F20"/>
          <w:sz w:val="20"/>
          <w:szCs w:val="20"/>
        </w:rPr>
        <w:t>GradPoint</w:t>
      </w:r>
      <w:proofErr w:type="spellEnd"/>
      <w:r>
        <w:rPr>
          <w:rFonts w:ascii="Arial" w:eastAsia="Arial" w:hAnsi="Arial" w:cs="Arial"/>
          <w:color w:val="231F20"/>
          <w:sz w:val="20"/>
          <w:szCs w:val="20"/>
        </w:rPr>
        <w:t xml:space="preserve">. This requires the approval from the student’s Committee, then the Faculty Graduate Advisor (the Director of Graduate Studies). </w:t>
      </w:r>
    </w:p>
    <w:p w14:paraId="317313D4" w14:textId="77777777" w:rsidR="00C4460F" w:rsidRDefault="00C4460F">
      <w:pPr>
        <w:spacing w:line="276" w:lineRule="auto"/>
        <w:jc w:val="both"/>
        <w:rPr>
          <w:rFonts w:ascii="Arial" w:eastAsia="Arial" w:hAnsi="Arial" w:cs="Arial"/>
          <w:color w:val="231F20"/>
          <w:sz w:val="20"/>
          <w:szCs w:val="20"/>
        </w:rPr>
      </w:pPr>
    </w:p>
    <w:p w14:paraId="26CC83AF" w14:textId="77777777" w:rsidR="00C4460F" w:rsidRDefault="00000000">
      <w:pPr>
        <w:widowControl w:val="0"/>
        <w:numPr>
          <w:ilvl w:val="0"/>
          <w:numId w:val="5"/>
        </w:numPr>
        <w:pBdr>
          <w:top w:val="nil"/>
          <w:left w:val="nil"/>
          <w:bottom w:val="nil"/>
          <w:right w:val="nil"/>
          <w:between w:val="nil"/>
        </w:pBdr>
        <w:spacing w:line="276" w:lineRule="auto"/>
        <w:jc w:val="both"/>
        <w:rPr>
          <w:rFonts w:ascii="Arial" w:eastAsia="Arial" w:hAnsi="Arial" w:cs="Arial"/>
          <w:color w:val="231F20"/>
          <w:sz w:val="20"/>
          <w:szCs w:val="20"/>
        </w:rPr>
      </w:pPr>
      <w:r>
        <w:rPr>
          <w:rFonts w:ascii="Arial" w:eastAsia="Arial" w:hAnsi="Arial" w:cs="Arial"/>
          <w:color w:val="231F20"/>
          <w:sz w:val="20"/>
          <w:szCs w:val="20"/>
        </w:rPr>
        <w:t>See the Graduate Program Advisor to check course requirements: Check your transcript to make sure that you have fulfilled all course requirements for the degree, that you don’t have any Incompletes, NGs or NRs on your record, and that you have a cumulative GPA of at least 3.0.</w:t>
      </w:r>
    </w:p>
    <w:p w14:paraId="0EE497FC" w14:textId="77777777" w:rsidR="00C4460F" w:rsidRDefault="00C4460F">
      <w:pPr>
        <w:spacing w:line="276" w:lineRule="auto"/>
        <w:jc w:val="both"/>
        <w:rPr>
          <w:rFonts w:ascii="Arial" w:eastAsia="Arial" w:hAnsi="Arial" w:cs="Arial"/>
          <w:color w:val="231F20"/>
          <w:sz w:val="20"/>
          <w:szCs w:val="20"/>
        </w:rPr>
      </w:pPr>
    </w:p>
    <w:p w14:paraId="72A755FE" w14:textId="77777777" w:rsidR="00C4460F" w:rsidRDefault="00000000">
      <w:pPr>
        <w:widowControl w:val="0"/>
        <w:numPr>
          <w:ilvl w:val="0"/>
          <w:numId w:val="5"/>
        </w:numPr>
        <w:pBdr>
          <w:top w:val="nil"/>
          <w:left w:val="nil"/>
          <w:bottom w:val="nil"/>
          <w:right w:val="nil"/>
          <w:between w:val="nil"/>
        </w:pBdr>
        <w:spacing w:line="276" w:lineRule="auto"/>
        <w:jc w:val="both"/>
        <w:rPr>
          <w:rFonts w:ascii="Arial" w:eastAsia="Arial" w:hAnsi="Arial" w:cs="Arial"/>
          <w:color w:val="231F20"/>
          <w:sz w:val="20"/>
          <w:szCs w:val="20"/>
        </w:rPr>
      </w:pPr>
      <w:r>
        <w:rPr>
          <w:rFonts w:ascii="Arial" w:eastAsia="Arial" w:hAnsi="Arial" w:cs="Arial"/>
          <w:color w:val="231F20"/>
          <w:sz w:val="20"/>
          <w:szCs w:val="20"/>
        </w:rPr>
        <w:t>File Ph.D. Form III – “Report on Doctoral Degree Final Defense” This is a Graduate Program Advisor- initiated form. The Graduate Division cannot award the degree until a Doctoral Form III is received from the department indicating that the student has successfully defended the dissertation. All approved committee members must sign the Doctoral Form III. These signatures must be the same as the signatures appearing on the approval pages of the dissertation. Because your dissertation approval page and Form III require the same signatures, if possible, CIRCULATE THEM TOGETHER! The defense may be waived only in unusual circumstances, with the unanimous consent of the candidate’s doctoral committee and the Department chair, using Doctoral Form III-A.</w:t>
      </w:r>
    </w:p>
    <w:p w14:paraId="189ADB00" w14:textId="77777777" w:rsidR="00C4460F" w:rsidRDefault="00C4460F">
      <w:pPr>
        <w:spacing w:line="276" w:lineRule="auto"/>
        <w:rPr>
          <w:rFonts w:ascii="Arial" w:eastAsia="Arial" w:hAnsi="Arial" w:cs="Arial"/>
          <w:color w:val="231F20"/>
          <w:sz w:val="20"/>
          <w:szCs w:val="20"/>
        </w:rPr>
      </w:pPr>
    </w:p>
    <w:p w14:paraId="07D04DDE" w14:textId="77777777" w:rsidR="00C4460F" w:rsidRDefault="00000000">
      <w:pPr>
        <w:widowControl w:val="0"/>
        <w:numPr>
          <w:ilvl w:val="0"/>
          <w:numId w:val="5"/>
        </w:numPr>
        <w:pBdr>
          <w:top w:val="nil"/>
          <w:left w:val="nil"/>
          <w:bottom w:val="nil"/>
          <w:right w:val="nil"/>
          <w:between w:val="nil"/>
        </w:pBdr>
        <w:spacing w:line="276" w:lineRule="auto"/>
        <w:rPr>
          <w:rFonts w:ascii="Arial" w:eastAsia="Arial" w:hAnsi="Arial" w:cs="Arial"/>
          <w:color w:val="231F20"/>
          <w:sz w:val="20"/>
          <w:szCs w:val="20"/>
        </w:rPr>
      </w:pPr>
      <w:r>
        <w:rPr>
          <w:rFonts w:ascii="Arial" w:eastAsia="Arial" w:hAnsi="Arial" w:cs="Arial"/>
          <w:color w:val="231F20"/>
          <w:sz w:val="20"/>
          <w:szCs w:val="20"/>
        </w:rPr>
        <w:t>We ask that you file a copy of your dissertation with the department. Please provide the official completed version of your dissertation (the pdf document filed with ProQuest) to the Graduate Program Assistant/Advisor. In addition, it is customary that you provide the final dissertation (in the same pdf format) to your committee members upon completion.</w:t>
      </w:r>
    </w:p>
    <w:p w14:paraId="5D480055" w14:textId="77777777" w:rsidR="00C4460F" w:rsidRDefault="00C4460F">
      <w:pPr>
        <w:spacing w:line="276" w:lineRule="auto"/>
        <w:rPr>
          <w:rFonts w:ascii="Arial" w:eastAsia="Arial" w:hAnsi="Arial" w:cs="Arial"/>
          <w:color w:val="231F20"/>
          <w:sz w:val="20"/>
          <w:szCs w:val="20"/>
        </w:rPr>
      </w:pPr>
    </w:p>
    <w:p w14:paraId="2E41B00C" w14:textId="77777777" w:rsidR="00C4460F" w:rsidRDefault="00000000">
      <w:pPr>
        <w:spacing w:line="276" w:lineRule="auto"/>
        <w:rPr>
          <w:rFonts w:ascii="Arial" w:eastAsia="Arial" w:hAnsi="Arial" w:cs="Arial"/>
          <w:color w:val="231F20"/>
          <w:sz w:val="20"/>
          <w:szCs w:val="20"/>
        </w:rPr>
      </w:pPr>
      <w:r>
        <w:rPr>
          <w:rFonts w:ascii="Arial" w:eastAsia="Arial" w:hAnsi="Arial" w:cs="Arial"/>
          <w:color w:val="231F20"/>
          <w:sz w:val="20"/>
          <w:szCs w:val="20"/>
        </w:rPr>
        <w:t>For more details on how to file your dissertation please visit:</w:t>
      </w:r>
    </w:p>
    <w:p w14:paraId="290B76CE" w14:textId="77777777" w:rsidR="00C4460F" w:rsidRDefault="00000000">
      <w:pPr>
        <w:spacing w:line="276" w:lineRule="auto"/>
        <w:rPr>
          <w:rFonts w:ascii="Arial" w:eastAsia="Arial" w:hAnsi="Arial" w:cs="Arial"/>
          <w:color w:val="231F20"/>
          <w:sz w:val="20"/>
          <w:szCs w:val="20"/>
        </w:rPr>
      </w:pPr>
      <w:hyperlink r:id="rId30">
        <w:r>
          <w:rPr>
            <w:rFonts w:ascii="Arial" w:eastAsia="Arial" w:hAnsi="Arial" w:cs="Arial"/>
            <w:color w:val="1155CC"/>
            <w:sz w:val="20"/>
            <w:szCs w:val="20"/>
            <w:u w:val="single"/>
          </w:rPr>
          <w:t>https://www.graddiv.ucsb.edu/electronic-thesis-and-dissertation-filing</w:t>
        </w:r>
      </w:hyperlink>
    </w:p>
    <w:p w14:paraId="37D98A63" w14:textId="77777777" w:rsidR="00C4460F" w:rsidRDefault="00C4460F">
      <w:pPr>
        <w:spacing w:line="276" w:lineRule="auto"/>
        <w:rPr>
          <w:rFonts w:ascii="Arial" w:eastAsia="Arial" w:hAnsi="Arial" w:cs="Arial"/>
          <w:sz w:val="20"/>
          <w:szCs w:val="20"/>
        </w:rPr>
      </w:pPr>
    </w:p>
    <w:p w14:paraId="2F9ED1BB" w14:textId="77777777" w:rsidR="00C4460F" w:rsidRDefault="00C4460F">
      <w:pPr>
        <w:tabs>
          <w:tab w:val="left" w:pos="480"/>
          <w:tab w:val="right" w:pos="720"/>
        </w:tabs>
        <w:spacing w:line="276" w:lineRule="auto"/>
        <w:rPr>
          <w:rFonts w:ascii="Arial" w:eastAsia="Arial" w:hAnsi="Arial" w:cs="Arial"/>
          <w:sz w:val="20"/>
          <w:szCs w:val="20"/>
        </w:rPr>
      </w:pPr>
    </w:p>
    <w:p w14:paraId="7AE0BDA2" w14:textId="77777777" w:rsidR="00C4460F" w:rsidRDefault="00000000">
      <w:pPr>
        <w:pStyle w:val="Heading2"/>
        <w:spacing w:line="276" w:lineRule="auto"/>
        <w:rPr>
          <w:rFonts w:ascii="Arial" w:eastAsia="Arial" w:hAnsi="Arial" w:cs="Arial"/>
          <w:b/>
          <w:bCs/>
        </w:rPr>
      </w:pPr>
      <w:bookmarkStart w:id="51" w:name="_heading=h.nk3hxv256xr7" w:colFirst="0" w:colLast="0"/>
      <w:bookmarkEnd w:id="51"/>
      <w:r>
        <w:rPr>
          <w:rFonts w:ascii="Arial" w:eastAsia="Arial" w:hAnsi="Arial" w:cs="Arial"/>
        </w:rPr>
        <w:t>PREPARATION FOR CAREERS IN TEACHING</w:t>
      </w:r>
    </w:p>
    <w:p w14:paraId="1AD7F3BA"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While there is no required preparation for a career in teaching per se, graduate students have ample opportunity to serve as Teaching Assistants, Teaching Associates, and may apply to teach in the department during summer. All graduate students will be required to give oral presentations in seminars and are encouraged to present their work in the Departmental Colloquium, among other venues on campus as well as at professional meetings such as the Society for Cinema Studies conference. This exposure to public and semi-public speaking together with the comprehensive study program will provide </w:t>
      </w:r>
      <w:r>
        <w:rPr>
          <w:rFonts w:ascii="Arial" w:eastAsia="Arial" w:hAnsi="Arial" w:cs="Arial"/>
          <w:color w:val="231F20"/>
          <w:sz w:val="20"/>
          <w:szCs w:val="20"/>
        </w:rPr>
        <w:lastRenderedPageBreak/>
        <w:t xml:space="preserve">the student with teaching experience and the basis for course preparation. In addition, the Graduate Division offers two programs focused on teaching preparation. </w:t>
      </w:r>
    </w:p>
    <w:p w14:paraId="69ADF46B"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31">
        <w:r>
          <w:rPr>
            <w:rFonts w:ascii="Arial" w:eastAsia="Arial" w:hAnsi="Arial" w:cs="Arial"/>
            <w:color w:val="0000FF"/>
            <w:sz w:val="20"/>
            <w:szCs w:val="20"/>
            <w:u w:val="single"/>
          </w:rPr>
          <w:t>https://www.graddiv.ucsb.edu/academic/interdisciplinary-emphases-certificate-programs</w:t>
        </w:r>
      </w:hyperlink>
    </w:p>
    <w:p w14:paraId="5186A282"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51535CF"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9BE2536" w14:textId="77777777" w:rsidR="00C4460F" w:rsidRDefault="00000000">
      <w:pPr>
        <w:pStyle w:val="Heading2"/>
        <w:spacing w:line="276" w:lineRule="auto"/>
        <w:rPr>
          <w:rFonts w:ascii="Arial" w:eastAsia="Arial" w:hAnsi="Arial" w:cs="Arial"/>
          <w:b/>
          <w:bCs/>
        </w:rPr>
      </w:pPr>
      <w:bookmarkStart w:id="52" w:name="_heading=h.okb5lxpcuqf7" w:colFirst="0" w:colLast="0"/>
      <w:bookmarkEnd w:id="52"/>
      <w:r>
        <w:rPr>
          <w:rFonts w:ascii="Arial" w:eastAsia="Arial" w:hAnsi="Arial" w:cs="Arial"/>
        </w:rPr>
        <w:t>FEES/TUITION</w:t>
      </w:r>
    </w:p>
    <w:p w14:paraId="5EA64861"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Refer to the UCSB website to view current fee and tuition levels:</w:t>
      </w:r>
    </w:p>
    <w:p w14:paraId="2C33A12F"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32">
        <w:r>
          <w:rPr>
            <w:rFonts w:ascii="Arial" w:eastAsia="Arial" w:hAnsi="Arial" w:cs="Arial"/>
            <w:color w:val="0000FF"/>
            <w:sz w:val="20"/>
            <w:szCs w:val="20"/>
            <w:u w:val="single"/>
          </w:rPr>
          <w:t>http://www.registrar.ucsb.edu/feeinfo.htm.</w:t>
        </w:r>
      </w:hyperlink>
    </w:p>
    <w:p w14:paraId="53BB49C9"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30A895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Fee Deferral: Students may defer the payment of a quarter’s fees by filling out a “promise to pay” agreement at the BARC Office. Depending on the student’s circumstances, fees may be divided into three equal monthly installments or come due in a lump sum at a specified date. A fee deferral or promise to pay obligates the student to register. If, after signing a promise to pay, the student decides to take a leave of absence rather than register, s/he must inform the BARC Office, Registrar, and Graduate Division of this decision. If the BARC Office is not informed of the student’s change in plans, the fees will remain on the student’s </w:t>
      </w:r>
      <w:proofErr w:type="gramStart"/>
      <w:r>
        <w:rPr>
          <w:rFonts w:ascii="Arial" w:eastAsia="Arial" w:hAnsi="Arial" w:cs="Arial"/>
          <w:color w:val="231F20"/>
          <w:sz w:val="20"/>
          <w:szCs w:val="20"/>
        </w:rPr>
        <w:t>account</w:t>
      </w:r>
      <w:proofErr w:type="gramEnd"/>
      <w:r>
        <w:rPr>
          <w:rFonts w:ascii="Arial" w:eastAsia="Arial" w:hAnsi="Arial" w:cs="Arial"/>
          <w:color w:val="231F20"/>
          <w:sz w:val="20"/>
          <w:szCs w:val="20"/>
        </w:rPr>
        <w:t xml:space="preserve"> and the student will return from a quarter’s leave owing two quarter’s fees.</w:t>
      </w:r>
    </w:p>
    <w:p w14:paraId="5642FECE"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33613E1"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CA57FEC" w14:textId="77777777" w:rsidR="00C4460F" w:rsidRDefault="00000000">
      <w:pPr>
        <w:pStyle w:val="Heading3"/>
        <w:tabs>
          <w:tab w:val="right" w:pos="720"/>
        </w:tabs>
        <w:spacing w:line="276" w:lineRule="auto"/>
        <w:ind w:left="0"/>
        <w:rPr>
          <w:rFonts w:ascii="Arial" w:eastAsia="Arial" w:hAnsi="Arial" w:cs="Arial"/>
          <w:color w:val="231F20"/>
        </w:rPr>
      </w:pPr>
      <w:bookmarkStart w:id="53" w:name="_heading=h.buf9d04iucv9" w:colFirst="0" w:colLast="0"/>
      <w:bookmarkEnd w:id="53"/>
      <w:r>
        <w:rPr>
          <w:rFonts w:ascii="Arial" w:eastAsia="Arial" w:hAnsi="Arial" w:cs="Arial"/>
          <w:b w:val="0"/>
          <w:bCs w:val="0"/>
          <w:color w:val="231F20"/>
          <w:sz w:val="26"/>
          <w:szCs w:val="26"/>
        </w:rPr>
        <w:t>FINANCIAL SUPPORT</w:t>
      </w:r>
    </w:p>
    <w:p w14:paraId="64294AC3" w14:textId="77777777" w:rsidR="00C4460F" w:rsidRDefault="00C4460F">
      <w:pPr>
        <w:pStyle w:val="Heading2"/>
        <w:spacing w:line="276" w:lineRule="auto"/>
        <w:rPr>
          <w:rFonts w:ascii="Arial" w:eastAsia="Arial" w:hAnsi="Arial" w:cs="Arial"/>
          <w:b/>
          <w:bCs/>
        </w:rPr>
      </w:pPr>
      <w:bookmarkStart w:id="54" w:name="_heading=h.rgplj9joo98l" w:colFirst="0" w:colLast="0"/>
      <w:bookmarkEnd w:id="54"/>
    </w:p>
    <w:p w14:paraId="1F26065D"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color w:val="231F20"/>
          <w:sz w:val="20"/>
          <w:szCs w:val="20"/>
        </w:rPr>
        <w:t xml:space="preserve">Financial support is offered in the form of fellowship quarters and ASE (Academic Student Employment) positions. </w:t>
      </w:r>
      <w:r>
        <w:rPr>
          <w:rFonts w:ascii="Arial" w:eastAsia="Arial" w:hAnsi="Arial" w:cs="Arial"/>
          <w:sz w:val="20"/>
          <w:szCs w:val="20"/>
        </w:rPr>
        <w:t>Please note that we are currently not able to accommodate fellowship deferral requests, nor can we guarantee that you will receive your fellowship during the specific quarter you request it.</w:t>
      </w:r>
    </w:p>
    <w:p w14:paraId="10CEEA5D"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D01BDAF"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There is also a Central Fellowship competition administered by the UCSB campus and the Graduate Program Advisor will ensure all students are aware of relevant deadlines. </w:t>
      </w:r>
    </w:p>
    <w:p w14:paraId="76D6E2D9"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CC99DD6" w14:textId="77777777" w:rsidR="00C4460F" w:rsidRDefault="00000000">
      <w:pPr>
        <w:pStyle w:val="Heading3"/>
        <w:tabs>
          <w:tab w:val="right" w:pos="720"/>
        </w:tabs>
        <w:spacing w:line="276" w:lineRule="auto"/>
        <w:ind w:left="0"/>
        <w:rPr>
          <w:rFonts w:ascii="Arial" w:eastAsia="Arial" w:hAnsi="Arial" w:cs="Arial"/>
          <w:b w:val="0"/>
          <w:bCs w:val="0"/>
          <w:color w:val="231F20"/>
          <w:sz w:val="26"/>
          <w:szCs w:val="26"/>
          <w:u w:val="single"/>
        </w:rPr>
      </w:pPr>
      <w:bookmarkStart w:id="55" w:name="_heading=h.avbxy689xzz2" w:colFirst="0" w:colLast="0"/>
      <w:bookmarkEnd w:id="55"/>
      <w:r>
        <w:rPr>
          <w:rFonts w:ascii="Arial" w:eastAsia="Arial" w:hAnsi="Arial" w:cs="Arial"/>
          <w:b w:val="0"/>
          <w:bCs w:val="0"/>
          <w:color w:val="231F20"/>
          <w:sz w:val="26"/>
          <w:szCs w:val="26"/>
          <w:u w:val="single"/>
        </w:rPr>
        <w:t>Academic Student Employment (ASE)</w:t>
      </w:r>
    </w:p>
    <w:p w14:paraId="4DB8F016" w14:textId="77777777" w:rsidR="00C4460F" w:rsidRDefault="00C4460F">
      <w:pPr>
        <w:tabs>
          <w:tab w:val="right" w:pos="720"/>
        </w:tabs>
      </w:pPr>
    </w:p>
    <w:p w14:paraId="4ADF518F"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Academic appointments are the single largest component of graduate student support at UCSB. Appointments are also a key element of graduate training and an opportunity for mentorship by UCSB faculty. Graduate student titles </w:t>
      </w:r>
      <w:proofErr w:type="gramStart"/>
      <w:r>
        <w:rPr>
          <w:rFonts w:ascii="Arial" w:eastAsia="Arial" w:hAnsi="Arial" w:cs="Arial"/>
          <w:color w:val="231F20"/>
          <w:sz w:val="20"/>
          <w:szCs w:val="20"/>
        </w:rPr>
        <w:t>include:</w:t>
      </w:r>
      <w:proofErr w:type="gramEnd"/>
      <w:r>
        <w:rPr>
          <w:rFonts w:ascii="Arial" w:eastAsia="Arial" w:hAnsi="Arial" w:cs="Arial"/>
          <w:color w:val="231F20"/>
          <w:sz w:val="20"/>
          <w:szCs w:val="20"/>
        </w:rPr>
        <w:t xml:space="preserve"> Graduate Student Researchers (GSR), Teaching Assistants (TA), Teaching Associates, and Readers. </w:t>
      </w:r>
    </w:p>
    <w:p w14:paraId="7448C56B"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6CA9E59"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To be eligible for any appointment, students must be:</w:t>
      </w:r>
    </w:p>
    <w:p w14:paraId="46297534" w14:textId="77777777" w:rsidR="00C4460F" w:rsidRDefault="00000000">
      <w:pPr>
        <w:widowControl w:val="0"/>
        <w:numPr>
          <w:ilvl w:val="0"/>
          <w:numId w:val="17"/>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231F20"/>
          <w:sz w:val="20"/>
          <w:szCs w:val="20"/>
        </w:rPr>
        <w:t>currently registered graduate students, enrolled in at least 8 units (the department requires 12 units)</w:t>
      </w:r>
    </w:p>
    <w:p w14:paraId="3F82208F" w14:textId="77777777" w:rsidR="00C4460F" w:rsidRDefault="00000000">
      <w:pPr>
        <w:widowControl w:val="0"/>
        <w:numPr>
          <w:ilvl w:val="0"/>
          <w:numId w:val="17"/>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231F20"/>
          <w:sz w:val="20"/>
          <w:szCs w:val="20"/>
        </w:rPr>
        <w:t>in good academic standing (i.e., 3.0 GPA and fewer than 12 units of Incomplete/NR/NG grades), not on academic probation or subject to dismissal</w:t>
      </w:r>
    </w:p>
    <w:p w14:paraId="7E27F187" w14:textId="77777777" w:rsidR="00C4460F" w:rsidRDefault="00000000">
      <w:pPr>
        <w:widowControl w:val="0"/>
        <w:numPr>
          <w:ilvl w:val="0"/>
          <w:numId w:val="17"/>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231F20"/>
          <w:sz w:val="20"/>
          <w:szCs w:val="20"/>
        </w:rPr>
        <w:t xml:space="preserve">chosen for academic appointment </w:t>
      </w:r>
      <w:proofErr w:type="gramStart"/>
      <w:r>
        <w:rPr>
          <w:rFonts w:ascii="Arial" w:eastAsia="Arial" w:hAnsi="Arial" w:cs="Arial"/>
          <w:color w:val="231F20"/>
          <w:sz w:val="20"/>
          <w:szCs w:val="20"/>
        </w:rPr>
        <w:t>on the basis of</w:t>
      </w:r>
      <w:proofErr w:type="gramEnd"/>
      <w:r>
        <w:rPr>
          <w:rFonts w:ascii="Arial" w:eastAsia="Arial" w:hAnsi="Arial" w:cs="Arial"/>
          <w:color w:val="231F20"/>
          <w:sz w:val="20"/>
          <w:szCs w:val="20"/>
        </w:rPr>
        <w:t xml:space="preserve"> high scholastic standing</w:t>
      </w:r>
    </w:p>
    <w:p w14:paraId="5D69B13E" w14:textId="77777777" w:rsidR="00C4460F" w:rsidRDefault="00000000">
      <w:pPr>
        <w:widowControl w:val="0"/>
        <w:numPr>
          <w:ilvl w:val="0"/>
          <w:numId w:val="17"/>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231F20"/>
          <w:sz w:val="20"/>
          <w:szCs w:val="20"/>
        </w:rPr>
        <w:t>certified as having language proficiency in spoken English if their native language is not English</w:t>
      </w:r>
    </w:p>
    <w:p w14:paraId="3AC17243"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A494CE8"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Appointments or combined appointments are limited to 50% time (15-20 hours per week) during the academic terms. The Department chair may ask for an exception for a graduate student to be compensated to a maximum of 75% for total service on campus. Per Graduate Council policy, exceptions to appointment percentage can only be considered if the student is within the major program’s normative time and should be submitted for the approval of the Graduate Dean in advance of the appointment. The </w:t>
      </w:r>
      <w:proofErr w:type="gramStart"/>
      <w:r>
        <w:rPr>
          <w:rFonts w:ascii="Arial" w:eastAsia="Arial" w:hAnsi="Arial" w:cs="Arial"/>
          <w:color w:val="231F20"/>
          <w:sz w:val="20"/>
          <w:szCs w:val="20"/>
        </w:rPr>
        <w:t>50% time</w:t>
      </w:r>
      <w:proofErr w:type="gramEnd"/>
      <w:r>
        <w:rPr>
          <w:rFonts w:ascii="Arial" w:eastAsia="Arial" w:hAnsi="Arial" w:cs="Arial"/>
          <w:color w:val="231F20"/>
          <w:sz w:val="20"/>
          <w:szCs w:val="20"/>
        </w:rPr>
        <w:t xml:space="preserve"> restriction will apply without exception for most international students, depending upon their visa type or country of origin (consult OISS or Graduate Division for details). All continuing students may work </w:t>
      </w:r>
      <w:r>
        <w:rPr>
          <w:rFonts w:ascii="Arial" w:eastAsia="Arial" w:hAnsi="Arial" w:cs="Arial"/>
          <w:color w:val="231F20"/>
          <w:sz w:val="20"/>
          <w:szCs w:val="20"/>
        </w:rPr>
        <w:lastRenderedPageBreak/>
        <w:t>100% time during the summer.</w:t>
      </w:r>
    </w:p>
    <w:p w14:paraId="59182E95"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FBFDCDA" w14:textId="77777777" w:rsidR="00C4460F" w:rsidRDefault="00000000">
      <w:pPr>
        <w:pStyle w:val="Heading2"/>
        <w:spacing w:line="276" w:lineRule="auto"/>
        <w:rPr>
          <w:rFonts w:ascii="Arial" w:eastAsia="Arial" w:hAnsi="Arial" w:cs="Arial"/>
          <w:b/>
          <w:bCs/>
        </w:rPr>
      </w:pPr>
      <w:bookmarkStart w:id="56" w:name="_heading=h.91n6r34ybjn9" w:colFirst="0" w:colLast="0"/>
      <w:bookmarkEnd w:id="56"/>
      <w:r>
        <w:rPr>
          <w:rFonts w:ascii="Arial" w:eastAsia="Arial" w:hAnsi="Arial" w:cs="Arial"/>
        </w:rPr>
        <w:t>Teaching Assistantships (TAs):</w:t>
      </w:r>
    </w:p>
    <w:p w14:paraId="4E885F0D"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A TA is chosen for excellent scholarship and for promise as a teacher and serves an apprenticeship under the active tutelage and supervision of a regular faculty member. Teaching Assistantship awards for the following academic year are made in Spring quarter (only those who receive TA support will be notified). For the salary scale of teaching assistantships, please visit: </w:t>
      </w:r>
    </w:p>
    <w:p w14:paraId="60B356FA"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33">
        <w:r>
          <w:rPr>
            <w:rFonts w:ascii="Arial" w:eastAsia="Arial" w:hAnsi="Arial" w:cs="Arial"/>
            <w:color w:val="0000FF"/>
            <w:sz w:val="20"/>
            <w:szCs w:val="20"/>
            <w:u w:val="single"/>
          </w:rPr>
          <w:t>https://ap.ucsb.edu/compensation.and.benefits/ucsb.salary.scales/18.pdf</w:t>
        </w:r>
      </w:hyperlink>
    </w:p>
    <w:p w14:paraId="5B1CAC2E"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 </w:t>
      </w:r>
    </w:p>
    <w:p w14:paraId="7606481C" w14:textId="77777777" w:rsidR="00C4460F" w:rsidRDefault="00000000">
      <w:pPr>
        <w:tabs>
          <w:tab w:val="right" w:pos="720"/>
        </w:tabs>
        <w:spacing w:line="276" w:lineRule="auto"/>
        <w:jc w:val="both"/>
        <w:rPr>
          <w:rFonts w:ascii="Arial" w:eastAsia="Arial" w:hAnsi="Arial" w:cs="Arial"/>
          <w:sz w:val="20"/>
          <w:szCs w:val="20"/>
        </w:rPr>
      </w:pPr>
      <w:r>
        <w:rPr>
          <w:rFonts w:ascii="Arial" w:eastAsia="Arial" w:hAnsi="Arial" w:cs="Arial"/>
          <w:color w:val="231F20"/>
          <w:sz w:val="20"/>
          <w:szCs w:val="20"/>
        </w:rPr>
        <w:t>TAs must be registered graduate students and attend the TA Training session (and enroll in FAMST 501).</w:t>
      </w:r>
    </w:p>
    <w:p w14:paraId="6A094D7C"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1EE7CDF"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Teaching Assistants are paid once a month on the first of the month, for service rendered the preceding month. If you begin in Fall Quarter, your first paycheck will be issued on November 1. You may borrow up to the amount of your first paycheck, 30 days prior to the date of your first paycheck through the TA loan program. To apply for a TA loan, obtain proof of your employment from the department and take that to the Financial Aid Office.</w:t>
      </w:r>
    </w:p>
    <w:p w14:paraId="35391CED"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B17867D"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b/>
          <w:bCs/>
          <w:color w:val="231F20"/>
          <w:sz w:val="20"/>
          <w:szCs w:val="20"/>
        </w:rPr>
      </w:pPr>
      <w:r>
        <w:rPr>
          <w:rFonts w:ascii="Arial" w:eastAsia="Arial" w:hAnsi="Arial" w:cs="Arial"/>
          <w:color w:val="231F20"/>
          <w:sz w:val="20"/>
          <w:szCs w:val="20"/>
        </w:rPr>
        <w:t>The total length of service rendered in any one or any combination of the following titles may not exceed four years [12 quarters]: Reader on annual stipend, Teaching Assistant, Teaching Fellow, and/or Associate. Under exceptional circumstances, the Chancellor, upon recommendation of the department chairperson and the dean of the school of college, may authorize a longer period, but in no case for more than six years [18 quarters].</w:t>
      </w:r>
    </w:p>
    <w:p w14:paraId="008F6AD1"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9017BB7"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Teaching Assistantships are an important part of the graduate program in Film and Media Studies. The work of graduate students as TA is supported by the Graduate Division, and TA training in the department. In addition, the Graduate Division also offers a graduate teaching certificate. </w:t>
      </w:r>
      <w:proofErr w:type="spellStart"/>
      <w:r>
        <w:rPr>
          <w:rFonts w:ascii="Arial" w:eastAsia="Arial" w:hAnsi="Arial" w:cs="Arial"/>
          <w:color w:val="231F20"/>
          <w:sz w:val="20"/>
          <w:szCs w:val="20"/>
        </w:rPr>
        <w:t>TAships</w:t>
      </w:r>
      <w:proofErr w:type="spellEnd"/>
      <w:r>
        <w:rPr>
          <w:rFonts w:ascii="Arial" w:eastAsia="Arial" w:hAnsi="Arial" w:cs="Arial"/>
          <w:color w:val="231F20"/>
          <w:sz w:val="20"/>
          <w:szCs w:val="20"/>
        </w:rPr>
        <w:t xml:space="preserve"> entail duties related to grading, student mentoring (holding office hours), and serving as leader of discussion sections. At least one quarter of teaching assistant or equivalent experience is required of all Ph.D. students.</w:t>
      </w:r>
    </w:p>
    <w:p w14:paraId="68F3E043"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EEF6C4D" w14:textId="77777777" w:rsidR="00C4460F" w:rsidRDefault="00000000">
      <w:pPr>
        <w:pStyle w:val="Heading3"/>
        <w:tabs>
          <w:tab w:val="right" w:pos="720"/>
        </w:tabs>
        <w:spacing w:line="276" w:lineRule="auto"/>
        <w:ind w:left="0"/>
        <w:rPr>
          <w:rFonts w:ascii="Arial" w:eastAsia="Arial" w:hAnsi="Arial" w:cs="Arial"/>
          <w:b w:val="0"/>
          <w:bCs w:val="0"/>
          <w:sz w:val="22"/>
          <w:szCs w:val="22"/>
          <w:u w:val="single"/>
        </w:rPr>
      </w:pPr>
      <w:bookmarkStart w:id="57" w:name="_heading=h.gm9xcfsbx9sq" w:colFirst="0" w:colLast="0"/>
      <w:bookmarkEnd w:id="57"/>
      <w:r>
        <w:rPr>
          <w:rFonts w:ascii="Arial" w:eastAsia="Arial" w:hAnsi="Arial" w:cs="Arial"/>
          <w:b w:val="0"/>
          <w:bCs w:val="0"/>
          <w:color w:val="231F20"/>
          <w:sz w:val="22"/>
          <w:szCs w:val="22"/>
          <w:u w:val="single"/>
        </w:rPr>
        <w:t>Supplementation Policy:</w:t>
      </w:r>
    </w:p>
    <w:p w14:paraId="721AB52A" w14:textId="77777777" w:rsidR="00C4460F" w:rsidRDefault="00000000">
      <w:pPr>
        <w:widowControl w:val="0"/>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Ideally, students who have been awarded fellowships have won awards that enable them to spend </w:t>
      </w:r>
      <w:proofErr w:type="gramStart"/>
      <w:r>
        <w:rPr>
          <w:rFonts w:ascii="Arial" w:eastAsia="Arial" w:hAnsi="Arial" w:cs="Arial"/>
          <w:color w:val="231F20"/>
          <w:sz w:val="20"/>
          <w:szCs w:val="20"/>
        </w:rPr>
        <w:t>the majority of</w:t>
      </w:r>
      <w:proofErr w:type="gramEnd"/>
      <w:r>
        <w:rPr>
          <w:rFonts w:ascii="Arial" w:eastAsia="Arial" w:hAnsi="Arial" w:cs="Arial"/>
          <w:color w:val="231F20"/>
          <w:sz w:val="20"/>
          <w:szCs w:val="20"/>
        </w:rPr>
        <w:t xml:space="preserve"> their time studying. Additional financial need should be minimal and easily covered by quarter-time employment that will not impede progress to the degree. The supplementation policy, therefore, is designed primarily to ensure that excess employment will not impede fellowship holders’ graduate studies and, second, to encourage a distribution of university support funds among the best students. </w:t>
      </w:r>
    </w:p>
    <w:p w14:paraId="05A4FB61" w14:textId="77777777" w:rsidR="00C4460F" w:rsidRDefault="00C4460F">
      <w:pPr>
        <w:widowControl w:val="0"/>
        <w:tabs>
          <w:tab w:val="right" w:pos="720"/>
        </w:tabs>
        <w:spacing w:line="276" w:lineRule="auto"/>
        <w:ind w:right="117"/>
        <w:jc w:val="both"/>
        <w:rPr>
          <w:rFonts w:ascii="Arial" w:eastAsia="Arial" w:hAnsi="Arial" w:cs="Arial"/>
          <w:color w:val="231F20"/>
          <w:sz w:val="20"/>
          <w:szCs w:val="20"/>
        </w:rPr>
      </w:pPr>
    </w:p>
    <w:p w14:paraId="254C7A1A"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1F50453" w14:textId="77777777" w:rsidR="00C4460F" w:rsidRDefault="00000000">
      <w:pPr>
        <w:pStyle w:val="Heading2"/>
        <w:spacing w:line="276" w:lineRule="auto"/>
        <w:rPr>
          <w:rFonts w:ascii="Arial" w:eastAsia="Arial" w:hAnsi="Arial" w:cs="Arial"/>
          <w:b/>
          <w:bCs/>
        </w:rPr>
      </w:pPr>
      <w:bookmarkStart w:id="58" w:name="_heading=h.52jpa08m2fvi" w:colFirst="0" w:colLast="0"/>
      <w:bookmarkEnd w:id="58"/>
      <w:r>
        <w:rPr>
          <w:rFonts w:ascii="Arial" w:eastAsia="Arial" w:hAnsi="Arial" w:cs="Arial"/>
        </w:rPr>
        <w:t>UAW Bargaining Agreement for Academic Student Employees (ASE)</w:t>
      </w:r>
    </w:p>
    <w:p w14:paraId="2FB3A591"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University has entered into a collective bargaining agreement with the United Auto Workers (UAW) covering terms   and conditions of employment for Teaching Assistants, Readers, Tutors, Associates and other specified ASEs. The agreements with ASE bargaining units are campus-based, the agreement will result in a separate contract for each of the eight general campuses, though the contract language will be essentially identical. The contract outlines the working relationship between faculty and ASEs and preserves and protects the academic judgment of the faculty.</w:t>
      </w:r>
    </w:p>
    <w:p w14:paraId="19E3751C"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6107DF3"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To review the contract, please go to: </w:t>
      </w:r>
    </w:p>
    <w:p w14:paraId="01BCB7C3"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05E9E"/>
          <w:sz w:val="20"/>
          <w:szCs w:val="20"/>
        </w:rPr>
      </w:pPr>
      <w:hyperlink r:id="rId34">
        <w:r>
          <w:rPr>
            <w:rFonts w:ascii="Arial" w:eastAsia="Arial" w:hAnsi="Arial" w:cs="Arial"/>
            <w:color w:val="0000FF"/>
            <w:sz w:val="20"/>
            <w:szCs w:val="20"/>
            <w:u w:val="single"/>
          </w:rPr>
          <w:t>http://ucnet.universityofcalifornia.edu/labor/bargaining-units/bx/contract.html</w:t>
        </w:r>
      </w:hyperlink>
      <w:r>
        <w:rPr>
          <w:rFonts w:ascii="Arial" w:eastAsia="Arial" w:hAnsi="Arial" w:cs="Arial"/>
          <w:color w:val="205E9E"/>
          <w:sz w:val="20"/>
          <w:szCs w:val="20"/>
        </w:rPr>
        <w:t xml:space="preserve"> </w:t>
      </w:r>
    </w:p>
    <w:p w14:paraId="3FE25735"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9385BE7"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lastRenderedPageBreak/>
        <w:t>A few significant areas of interest in the contract include:</w:t>
      </w:r>
    </w:p>
    <w:p w14:paraId="322AA0FC" w14:textId="77777777" w:rsidR="00C4460F" w:rsidRDefault="00000000">
      <w:pPr>
        <w:widowControl w:val="0"/>
        <w:numPr>
          <w:ilvl w:val="0"/>
          <w:numId w:val="21"/>
        </w:numPr>
        <w:pBdr>
          <w:top w:val="nil"/>
          <w:left w:val="nil"/>
          <w:bottom w:val="nil"/>
          <w:right w:val="nil"/>
          <w:between w:val="nil"/>
        </w:pBdr>
        <w:tabs>
          <w:tab w:val="right" w:pos="720"/>
        </w:tabs>
        <w:spacing w:line="276" w:lineRule="auto"/>
        <w:ind w:right="117"/>
        <w:jc w:val="both"/>
        <w:rPr>
          <w:rFonts w:ascii="Arial" w:eastAsia="Arial" w:hAnsi="Arial" w:cs="Arial"/>
          <w:b/>
          <w:bCs/>
          <w:color w:val="231F20"/>
          <w:sz w:val="20"/>
          <w:szCs w:val="20"/>
        </w:rPr>
      </w:pPr>
      <w:r>
        <w:rPr>
          <w:rFonts w:ascii="Arial" w:eastAsia="Arial" w:hAnsi="Arial" w:cs="Arial"/>
          <w:color w:val="231F20"/>
          <w:sz w:val="20"/>
          <w:szCs w:val="20"/>
        </w:rPr>
        <w:t>Appointment Notification</w:t>
      </w:r>
    </w:p>
    <w:p w14:paraId="286EA4E3" w14:textId="77777777" w:rsidR="00C4460F" w:rsidRDefault="00000000">
      <w:pPr>
        <w:widowControl w:val="0"/>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231F20"/>
          <w:sz w:val="20"/>
          <w:szCs w:val="20"/>
        </w:rPr>
        <w:t>Fee Remission</w:t>
      </w:r>
    </w:p>
    <w:p w14:paraId="37B85AED" w14:textId="77777777" w:rsidR="00C4460F" w:rsidRDefault="00000000">
      <w:pPr>
        <w:widowControl w:val="0"/>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231F20"/>
          <w:sz w:val="20"/>
          <w:szCs w:val="20"/>
        </w:rPr>
        <w:t>Grievance and Arbitration</w:t>
      </w:r>
    </w:p>
    <w:p w14:paraId="3685145C" w14:textId="77777777" w:rsidR="00C4460F" w:rsidRDefault="00000000">
      <w:pPr>
        <w:widowControl w:val="0"/>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231F20"/>
          <w:sz w:val="20"/>
          <w:szCs w:val="20"/>
        </w:rPr>
        <w:t>Management and Academic Rights</w:t>
      </w:r>
    </w:p>
    <w:p w14:paraId="2A6AD43B" w14:textId="77777777" w:rsidR="00C4460F" w:rsidRDefault="00000000">
      <w:pPr>
        <w:widowControl w:val="0"/>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231F20"/>
          <w:sz w:val="20"/>
          <w:szCs w:val="20"/>
        </w:rPr>
        <w:t>Non-Discrimination</w:t>
      </w:r>
    </w:p>
    <w:p w14:paraId="5F5CA7DC" w14:textId="77777777" w:rsidR="00C4460F" w:rsidRDefault="00000000">
      <w:pPr>
        <w:widowControl w:val="0"/>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231F20"/>
          <w:sz w:val="20"/>
          <w:szCs w:val="20"/>
        </w:rPr>
        <w:t>No Strikes</w:t>
      </w:r>
    </w:p>
    <w:p w14:paraId="00A08741" w14:textId="77777777" w:rsidR="00C4460F" w:rsidRDefault="00000000">
      <w:pPr>
        <w:widowControl w:val="0"/>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231F20"/>
          <w:sz w:val="20"/>
          <w:szCs w:val="20"/>
        </w:rPr>
        <w:t>Wages</w:t>
      </w:r>
    </w:p>
    <w:p w14:paraId="29718468" w14:textId="77777777" w:rsidR="00C4460F" w:rsidRDefault="00000000">
      <w:pPr>
        <w:widowControl w:val="0"/>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231F20"/>
          <w:sz w:val="20"/>
          <w:szCs w:val="20"/>
        </w:rPr>
        <w:t>Waiver</w:t>
      </w:r>
    </w:p>
    <w:p w14:paraId="02F161AD" w14:textId="77777777" w:rsidR="00C4460F" w:rsidRDefault="00000000">
      <w:pPr>
        <w:widowControl w:val="0"/>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231F20"/>
          <w:sz w:val="20"/>
          <w:szCs w:val="20"/>
        </w:rPr>
        <w:t>Workload</w:t>
      </w:r>
    </w:p>
    <w:p w14:paraId="013CEB4D" w14:textId="77777777" w:rsidR="00C4460F" w:rsidRDefault="00C4460F">
      <w:pPr>
        <w:widowControl w:val="0"/>
        <w:pBdr>
          <w:top w:val="nil"/>
          <w:left w:val="nil"/>
          <w:bottom w:val="nil"/>
          <w:right w:val="nil"/>
          <w:between w:val="nil"/>
        </w:pBdr>
        <w:tabs>
          <w:tab w:val="right" w:pos="720"/>
          <w:tab w:val="left" w:pos="839"/>
          <w:tab w:val="left" w:pos="840"/>
        </w:tabs>
        <w:spacing w:line="276" w:lineRule="auto"/>
        <w:ind w:left="840"/>
        <w:jc w:val="both"/>
        <w:rPr>
          <w:rFonts w:ascii="Arial" w:eastAsia="Arial" w:hAnsi="Arial" w:cs="Arial"/>
          <w:color w:val="000000"/>
          <w:sz w:val="20"/>
          <w:szCs w:val="20"/>
        </w:rPr>
      </w:pPr>
    </w:p>
    <w:p w14:paraId="191BA2B6" w14:textId="77777777" w:rsidR="00C4460F" w:rsidRDefault="00000000">
      <w:pPr>
        <w:tabs>
          <w:tab w:val="right" w:pos="720"/>
        </w:tabs>
        <w:spacing w:line="276" w:lineRule="auto"/>
        <w:jc w:val="both"/>
        <w:rPr>
          <w:rFonts w:ascii="Arial" w:eastAsia="Arial" w:hAnsi="Arial" w:cs="Arial"/>
          <w:color w:val="231F20"/>
          <w:sz w:val="22"/>
          <w:szCs w:val="22"/>
          <w:u w:val="single"/>
        </w:rPr>
      </w:pPr>
      <w:r>
        <w:rPr>
          <w:rFonts w:ascii="Arial" w:eastAsia="Arial" w:hAnsi="Arial" w:cs="Arial"/>
          <w:color w:val="231F20"/>
          <w:sz w:val="22"/>
          <w:szCs w:val="22"/>
          <w:u w:val="single"/>
        </w:rPr>
        <w:t>Graduate Student Researchers (GSR)</w:t>
      </w:r>
    </w:p>
    <w:p w14:paraId="543DD5A6"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A GSR is a graduate student who assists faculty members with scholarly research. GSRs are selected for high achievement and promise as creative scholars; they may collaborate in the publication of research results as determined by supervising faculty members. Generally, GSRs are not assigned teaching, administrative or general assistance duties. GSR appointments are various and are available each year, depending on the level of extramural support of faculty members. GSR appointments are arranged on an individual basis between the student and a faculty </w:t>
      </w:r>
      <w:proofErr w:type="gramStart"/>
      <w:r>
        <w:rPr>
          <w:rFonts w:ascii="Arial" w:eastAsia="Arial" w:hAnsi="Arial" w:cs="Arial"/>
          <w:color w:val="231F20"/>
          <w:sz w:val="20"/>
          <w:szCs w:val="20"/>
        </w:rPr>
        <w:t>member, and</w:t>
      </w:r>
      <w:proofErr w:type="gramEnd"/>
      <w:r>
        <w:rPr>
          <w:rFonts w:ascii="Arial" w:eastAsia="Arial" w:hAnsi="Arial" w:cs="Arial"/>
          <w:color w:val="231F20"/>
          <w:sz w:val="20"/>
          <w:szCs w:val="20"/>
        </w:rPr>
        <w:t xml:space="preserve"> generally cannot be “applied” for like one would a Teaching Assistantship or Fellowship. A graduate student must be registered in the spring to be eligible for a summer GSR appointment.</w:t>
      </w:r>
    </w:p>
    <w:p w14:paraId="633A12D8" w14:textId="77777777" w:rsidR="00C4460F" w:rsidRDefault="00C4460F">
      <w:pPr>
        <w:tabs>
          <w:tab w:val="right" w:pos="720"/>
        </w:tabs>
        <w:spacing w:line="276" w:lineRule="auto"/>
        <w:jc w:val="both"/>
        <w:rPr>
          <w:rFonts w:ascii="Arial" w:eastAsia="Arial" w:hAnsi="Arial" w:cs="Arial"/>
          <w:sz w:val="16"/>
          <w:szCs w:val="16"/>
        </w:rPr>
      </w:pPr>
    </w:p>
    <w:p w14:paraId="45F1D26B"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highlight w:val="white"/>
        </w:rPr>
        <w:t xml:space="preserve">Additionally, the department complies with </w:t>
      </w:r>
      <w:r>
        <w:rPr>
          <w:rFonts w:ascii="Arial" w:eastAsia="Arial" w:hAnsi="Arial" w:cs="Arial"/>
          <w:color w:val="222222"/>
          <w:sz w:val="20"/>
          <w:szCs w:val="20"/>
          <w:highlight w:val="white"/>
        </w:rPr>
        <w:t xml:space="preserve">the federal Family Educational Rights and Privacy Act (FERPA) for all ASE and GSR positions. </w:t>
      </w:r>
      <w:r>
        <w:rPr>
          <w:rFonts w:ascii="Arial" w:eastAsia="Arial" w:hAnsi="Arial" w:cs="Arial"/>
          <w:color w:val="231F20"/>
          <w:sz w:val="20"/>
          <w:szCs w:val="20"/>
          <w:highlight w:val="white"/>
        </w:rPr>
        <w:t>"By submitting an application for employment for this position, the applicant authorizes the hiring agency to access their academic record for the purpose of confirming enrollment status and related eligibility for student employment."</w:t>
      </w:r>
      <w:r>
        <w:rPr>
          <w:rFonts w:ascii="Arial" w:eastAsia="Arial" w:hAnsi="Arial" w:cs="Arial"/>
          <w:color w:val="222222"/>
          <w:sz w:val="20"/>
          <w:szCs w:val="20"/>
          <w:highlight w:val="white"/>
        </w:rPr>
        <w:t>   </w:t>
      </w:r>
    </w:p>
    <w:p w14:paraId="69222690"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E2E5E64"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 department expects that students about to embark on thesis/dissertation research will work with their faculty advisor on research proposals </w:t>
      </w:r>
      <w:proofErr w:type="gramStart"/>
      <w:r>
        <w:rPr>
          <w:rFonts w:ascii="Arial" w:eastAsia="Arial" w:hAnsi="Arial" w:cs="Arial"/>
          <w:color w:val="231F20"/>
          <w:sz w:val="20"/>
          <w:szCs w:val="20"/>
        </w:rPr>
        <w:t>in order to</w:t>
      </w:r>
      <w:proofErr w:type="gramEnd"/>
      <w:r>
        <w:rPr>
          <w:rFonts w:ascii="Arial" w:eastAsia="Arial" w:hAnsi="Arial" w:cs="Arial"/>
          <w:color w:val="231F20"/>
          <w:sz w:val="20"/>
          <w:szCs w:val="20"/>
        </w:rPr>
        <w:t xml:space="preserve"> secure this form of support if it is not already available.</w:t>
      </w:r>
    </w:p>
    <w:p w14:paraId="33E81ABD"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A569A87"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For the salary scale of GSR appointments, please visit: </w:t>
      </w:r>
    </w:p>
    <w:p w14:paraId="17730D07"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35">
        <w:r>
          <w:rPr>
            <w:rFonts w:ascii="Arial" w:eastAsia="Arial" w:hAnsi="Arial" w:cs="Arial"/>
            <w:color w:val="0000FF"/>
            <w:sz w:val="20"/>
            <w:szCs w:val="20"/>
            <w:u w:val="single"/>
          </w:rPr>
          <w:t>https://ap.ucsb.edu/compensation.and.benefits/ucsb.salary.scales/22.pdf</w:t>
        </w:r>
      </w:hyperlink>
    </w:p>
    <w:p w14:paraId="33C7932B"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A65B95B"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B849EA3" w14:textId="77777777" w:rsidR="00C4460F" w:rsidRDefault="00000000">
      <w:pPr>
        <w:pStyle w:val="Heading2"/>
        <w:spacing w:line="276" w:lineRule="auto"/>
        <w:rPr>
          <w:rFonts w:ascii="Arial" w:eastAsia="Arial" w:hAnsi="Arial" w:cs="Arial"/>
          <w:b/>
          <w:bCs/>
        </w:rPr>
      </w:pPr>
      <w:bookmarkStart w:id="59" w:name="_heading=h.qf2j8swnsgct" w:colFirst="0" w:colLast="0"/>
      <w:bookmarkEnd w:id="59"/>
      <w:r>
        <w:rPr>
          <w:rFonts w:ascii="Arial" w:eastAsia="Arial" w:hAnsi="Arial" w:cs="Arial"/>
        </w:rPr>
        <w:t>Employment Benefits for TAs &amp; GSRs:</w:t>
      </w:r>
    </w:p>
    <w:p w14:paraId="29C6D777"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Employment at different percentages as a TA or GSR includes certain employment benefits. These include payment of the Graduate Student Health Insurance Premium (GSHIP), partial fee remission, or payment of full fees and nonresident tuition where applicable. The table below indicates the most common combinations of employment, and the benefits associated with them during academic year:</w:t>
      </w:r>
    </w:p>
    <w:p w14:paraId="4C44BAA2"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tbl>
      <w:tblPr>
        <w:tblStyle w:val="a"/>
        <w:tblW w:w="7896" w:type="dxa"/>
        <w:tblInd w:w="121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856"/>
        <w:gridCol w:w="5040"/>
      </w:tblGrid>
      <w:tr w:rsidR="00C4460F" w14:paraId="4ED0B42E" w14:textId="77777777">
        <w:trPr>
          <w:trHeight w:val="319"/>
        </w:trPr>
        <w:tc>
          <w:tcPr>
            <w:tcW w:w="2856" w:type="dxa"/>
          </w:tcPr>
          <w:p w14:paraId="03B8C0DB" w14:textId="77777777" w:rsidR="00C4460F" w:rsidRDefault="00000000">
            <w:pPr>
              <w:widowControl w:val="0"/>
              <w:pBdr>
                <w:top w:val="nil"/>
                <w:left w:val="nil"/>
                <w:bottom w:val="nil"/>
                <w:right w:val="nil"/>
                <w:between w:val="nil"/>
              </w:pBdr>
              <w:tabs>
                <w:tab w:val="right" w:pos="720"/>
              </w:tabs>
              <w:spacing w:line="276" w:lineRule="auto"/>
              <w:ind w:left="80"/>
              <w:rPr>
                <w:rFonts w:ascii="Arial" w:eastAsia="Arial" w:hAnsi="Arial" w:cs="Arial"/>
                <w:color w:val="000000"/>
                <w:sz w:val="18"/>
                <w:szCs w:val="18"/>
              </w:rPr>
            </w:pPr>
            <w:r>
              <w:rPr>
                <w:rFonts w:ascii="Arial" w:eastAsia="Arial" w:hAnsi="Arial" w:cs="Arial"/>
                <w:color w:val="231F20"/>
                <w:sz w:val="18"/>
                <w:szCs w:val="18"/>
              </w:rPr>
              <w:t>25% TA</w:t>
            </w:r>
          </w:p>
        </w:tc>
        <w:tc>
          <w:tcPr>
            <w:tcW w:w="5040" w:type="dxa"/>
          </w:tcPr>
          <w:p w14:paraId="61CB4987" w14:textId="77777777" w:rsidR="00C4460F" w:rsidRDefault="00000000">
            <w:pPr>
              <w:widowControl w:val="0"/>
              <w:pBdr>
                <w:top w:val="nil"/>
                <w:left w:val="nil"/>
                <w:bottom w:val="nil"/>
                <w:right w:val="nil"/>
                <w:between w:val="nil"/>
              </w:pBdr>
              <w:tabs>
                <w:tab w:val="right" w:pos="720"/>
              </w:tabs>
              <w:spacing w:line="276" w:lineRule="auto"/>
              <w:ind w:left="79"/>
              <w:rPr>
                <w:rFonts w:ascii="Arial" w:eastAsia="Arial" w:hAnsi="Arial" w:cs="Arial"/>
                <w:color w:val="000000"/>
                <w:sz w:val="18"/>
                <w:szCs w:val="18"/>
              </w:rPr>
            </w:pPr>
            <w:r>
              <w:rPr>
                <w:rFonts w:ascii="Arial" w:eastAsia="Arial" w:hAnsi="Arial" w:cs="Arial"/>
                <w:color w:val="231F20"/>
                <w:sz w:val="18"/>
                <w:szCs w:val="18"/>
              </w:rPr>
              <w:t>GSHIP, partial fee remission*</w:t>
            </w:r>
          </w:p>
        </w:tc>
      </w:tr>
      <w:tr w:rsidR="00C4460F" w14:paraId="4B60C42F" w14:textId="77777777">
        <w:trPr>
          <w:trHeight w:val="319"/>
        </w:trPr>
        <w:tc>
          <w:tcPr>
            <w:tcW w:w="2856" w:type="dxa"/>
          </w:tcPr>
          <w:p w14:paraId="379D3762" w14:textId="77777777" w:rsidR="00C4460F" w:rsidRDefault="00000000">
            <w:pPr>
              <w:widowControl w:val="0"/>
              <w:pBdr>
                <w:top w:val="nil"/>
                <w:left w:val="nil"/>
                <w:bottom w:val="nil"/>
                <w:right w:val="nil"/>
                <w:between w:val="nil"/>
              </w:pBdr>
              <w:tabs>
                <w:tab w:val="right" w:pos="720"/>
              </w:tabs>
              <w:spacing w:line="276" w:lineRule="auto"/>
              <w:ind w:left="80"/>
              <w:rPr>
                <w:rFonts w:ascii="Arial" w:eastAsia="Arial" w:hAnsi="Arial" w:cs="Arial"/>
                <w:color w:val="000000"/>
                <w:sz w:val="18"/>
                <w:szCs w:val="18"/>
              </w:rPr>
            </w:pPr>
            <w:r>
              <w:rPr>
                <w:rFonts w:ascii="Arial" w:eastAsia="Arial" w:hAnsi="Arial" w:cs="Arial"/>
                <w:color w:val="231F20"/>
                <w:sz w:val="18"/>
                <w:szCs w:val="18"/>
              </w:rPr>
              <w:t>50% TA</w:t>
            </w:r>
          </w:p>
        </w:tc>
        <w:tc>
          <w:tcPr>
            <w:tcW w:w="5040" w:type="dxa"/>
          </w:tcPr>
          <w:p w14:paraId="256268F2" w14:textId="77777777" w:rsidR="00C4460F" w:rsidRDefault="00000000">
            <w:pPr>
              <w:widowControl w:val="0"/>
              <w:pBdr>
                <w:top w:val="nil"/>
                <w:left w:val="nil"/>
                <w:bottom w:val="nil"/>
                <w:right w:val="nil"/>
                <w:between w:val="nil"/>
              </w:pBdr>
              <w:tabs>
                <w:tab w:val="right" w:pos="720"/>
              </w:tabs>
              <w:spacing w:line="276" w:lineRule="auto"/>
              <w:ind w:left="79"/>
              <w:rPr>
                <w:rFonts w:ascii="Arial" w:eastAsia="Arial" w:hAnsi="Arial" w:cs="Arial"/>
                <w:color w:val="000000"/>
                <w:sz w:val="18"/>
                <w:szCs w:val="18"/>
              </w:rPr>
            </w:pPr>
            <w:r>
              <w:rPr>
                <w:rFonts w:ascii="Arial" w:eastAsia="Arial" w:hAnsi="Arial" w:cs="Arial"/>
                <w:color w:val="231F20"/>
                <w:sz w:val="18"/>
                <w:szCs w:val="18"/>
              </w:rPr>
              <w:t>GSHIP, partial fee remission*</w:t>
            </w:r>
          </w:p>
        </w:tc>
      </w:tr>
      <w:tr w:rsidR="00C4460F" w14:paraId="27172588" w14:textId="77777777">
        <w:trPr>
          <w:trHeight w:val="319"/>
        </w:trPr>
        <w:tc>
          <w:tcPr>
            <w:tcW w:w="2856" w:type="dxa"/>
          </w:tcPr>
          <w:p w14:paraId="5A5328B9" w14:textId="77777777" w:rsidR="00C4460F" w:rsidRDefault="00000000">
            <w:pPr>
              <w:widowControl w:val="0"/>
              <w:pBdr>
                <w:top w:val="nil"/>
                <w:left w:val="nil"/>
                <w:bottom w:val="nil"/>
                <w:right w:val="nil"/>
                <w:between w:val="nil"/>
              </w:pBdr>
              <w:tabs>
                <w:tab w:val="right" w:pos="720"/>
              </w:tabs>
              <w:spacing w:line="276" w:lineRule="auto"/>
              <w:ind w:left="80"/>
              <w:rPr>
                <w:rFonts w:ascii="Arial" w:eastAsia="Arial" w:hAnsi="Arial" w:cs="Arial"/>
                <w:color w:val="000000"/>
                <w:sz w:val="18"/>
                <w:szCs w:val="18"/>
              </w:rPr>
            </w:pPr>
            <w:r>
              <w:rPr>
                <w:rFonts w:ascii="Arial" w:eastAsia="Arial" w:hAnsi="Arial" w:cs="Arial"/>
                <w:color w:val="231F20"/>
                <w:sz w:val="18"/>
                <w:szCs w:val="18"/>
              </w:rPr>
              <w:t>25% TA &amp; 25% GSR</w:t>
            </w:r>
          </w:p>
        </w:tc>
        <w:tc>
          <w:tcPr>
            <w:tcW w:w="5040" w:type="dxa"/>
          </w:tcPr>
          <w:p w14:paraId="434E1F64" w14:textId="77777777" w:rsidR="00C4460F" w:rsidRDefault="00000000">
            <w:pPr>
              <w:widowControl w:val="0"/>
              <w:pBdr>
                <w:top w:val="nil"/>
                <w:left w:val="nil"/>
                <w:bottom w:val="nil"/>
                <w:right w:val="nil"/>
                <w:between w:val="nil"/>
              </w:pBdr>
              <w:tabs>
                <w:tab w:val="right" w:pos="720"/>
              </w:tabs>
              <w:spacing w:line="276" w:lineRule="auto"/>
              <w:ind w:left="79"/>
              <w:rPr>
                <w:rFonts w:ascii="Arial" w:eastAsia="Arial" w:hAnsi="Arial" w:cs="Arial"/>
                <w:color w:val="000000"/>
                <w:sz w:val="18"/>
                <w:szCs w:val="18"/>
              </w:rPr>
            </w:pPr>
            <w:r>
              <w:rPr>
                <w:rFonts w:ascii="Arial" w:eastAsia="Arial" w:hAnsi="Arial" w:cs="Arial"/>
                <w:color w:val="231F20"/>
                <w:sz w:val="18"/>
                <w:szCs w:val="18"/>
              </w:rPr>
              <w:t>GSHIP, full fees</w:t>
            </w:r>
          </w:p>
        </w:tc>
      </w:tr>
      <w:tr w:rsidR="00C4460F" w14:paraId="07EB02E6" w14:textId="77777777">
        <w:trPr>
          <w:trHeight w:val="319"/>
        </w:trPr>
        <w:tc>
          <w:tcPr>
            <w:tcW w:w="2856" w:type="dxa"/>
          </w:tcPr>
          <w:p w14:paraId="3E07A2F4" w14:textId="77777777" w:rsidR="00C4460F" w:rsidRDefault="00000000">
            <w:pPr>
              <w:widowControl w:val="0"/>
              <w:pBdr>
                <w:top w:val="nil"/>
                <w:left w:val="nil"/>
                <w:bottom w:val="nil"/>
                <w:right w:val="nil"/>
                <w:between w:val="nil"/>
              </w:pBdr>
              <w:tabs>
                <w:tab w:val="right" w:pos="720"/>
              </w:tabs>
              <w:spacing w:line="276" w:lineRule="auto"/>
              <w:ind w:left="80"/>
              <w:rPr>
                <w:rFonts w:ascii="Arial" w:eastAsia="Arial" w:hAnsi="Arial" w:cs="Arial"/>
                <w:color w:val="000000"/>
                <w:sz w:val="18"/>
                <w:szCs w:val="18"/>
              </w:rPr>
            </w:pPr>
            <w:r>
              <w:rPr>
                <w:rFonts w:ascii="Arial" w:eastAsia="Arial" w:hAnsi="Arial" w:cs="Arial"/>
                <w:color w:val="231F20"/>
                <w:sz w:val="18"/>
                <w:szCs w:val="18"/>
              </w:rPr>
              <w:t>50% TA &amp; 25% GSR</w:t>
            </w:r>
          </w:p>
        </w:tc>
        <w:tc>
          <w:tcPr>
            <w:tcW w:w="5040" w:type="dxa"/>
          </w:tcPr>
          <w:p w14:paraId="46034E98" w14:textId="77777777" w:rsidR="00C4460F" w:rsidRDefault="00000000">
            <w:pPr>
              <w:widowControl w:val="0"/>
              <w:pBdr>
                <w:top w:val="nil"/>
                <w:left w:val="nil"/>
                <w:bottom w:val="nil"/>
                <w:right w:val="nil"/>
                <w:between w:val="nil"/>
              </w:pBdr>
              <w:tabs>
                <w:tab w:val="right" w:pos="720"/>
              </w:tabs>
              <w:spacing w:line="276" w:lineRule="auto"/>
              <w:ind w:left="79"/>
              <w:rPr>
                <w:rFonts w:ascii="Arial" w:eastAsia="Arial" w:hAnsi="Arial" w:cs="Arial"/>
                <w:color w:val="000000"/>
                <w:sz w:val="18"/>
                <w:szCs w:val="18"/>
              </w:rPr>
            </w:pPr>
            <w:r>
              <w:rPr>
                <w:rFonts w:ascii="Arial" w:eastAsia="Arial" w:hAnsi="Arial" w:cs="Arial"/>
                <w:color w:val="231F20"/>
                <w:sz w:val="18"/>
                <w:szCs w:val="18"/>
              </w:rPr>
              <w:t>GSHIP, full fees</w:t>
            </w:r>
          </w:p>
        </w:tc>
      </w:tr>
      <w:tr w:rsidR="00C4460F" w14:paraId="6D3E46EE" w14:textId="77777777">
        <w:trPr>
          <w:trHeight w:val="319"/>
        </w:trPr>
        <w:tc>
          <w:tcPr>
            <w:tcW w:w="2856" w:type="dxa"/>
          </w:tcPr>
          <w:p w14:paraId="5DDAF7B0" w14:textId="77777777" w:rsidR="00C4460F" w:rsidRDefault="00000000">
            <w:pPr>
              <w:widowControl w:val="0"/>
              <w:pBdr>
                <w:top w:val="nil"/>
                <w:left w:val="nil"/>
                <w:bottom w:val="nil"/>
                <w:right w:val="nil"/>
                <w:between w:val="nil"/>
              </w:pBdr>
              <w:tabs>
                <w:tab w:val="right" w:pos="720"/>
              </w:tabs>
              <w:spacing w:line="276" w:lineRule="auto"/>
              <w:ind w:left="80"/>
              <w:rPr>
                <w:rFonts w:ascii="Arial" w:eastAsia="Arial" w:hAnsi="Arial" w:cs="Arial"/>
                <w:color w:val="000000"/>
                <w:sz w:val="18"/>
                <w:szCs w:val="18"/>
              </w:rPr>
            </w:pPr>
            <w:r>
              <w:rPr>
                <w:rFonts w:ascii="Arial" w:eastAsia="Arial" w:hAnsi="Arial" w:cs="Arial"/>
                <w:color w:val="231F20"/>
                <w:sz w:val="18"/>
                <w:szCs w:val="18"/>
              </w:rPr>
              <w:t>25% GSR</w:t>
            </w:r>
          </w:p>
        </w:tc>
        <w:tc>
          <w:tcPr>
            <w:tcW w:w="5040" w:type="dxa"/>
          </w:tcPr>
          <w:p w14:paraId="345CF561" w14:textId="77777777" w:rsidR="00C4460F" w:rsidRDefault="00000000">
            <w:pPr>
              <w:widowControl w:val="0"/>
              <w:pBdr>
                <w:top w:val="nil"/>
                <w:left w:val="nil"/>
                <w:bottom w:val="nil"/>
                <w:right w:val="nil"/>
                <w:between w:val="nil"/>
              </w:pBdr>
              <w:tabs>
                <w:tab w:val="right" w:pos="720"/>
              </w:tabs>
              <w:spacing w:line="276" w:lineRule="auto"/>
              <w:ind w:left="79"/>
              <w:rPr>
                <w:rFonts w:ascii="Arial" w:eastAsia="Arial" w:hAnsi="Arial" w:cs="Arial"/>
                <w:color w:val="000000"/>
                <w:sz w:val="18"/>
                <w:szCs w:val="18"/>
              </w:rPr>
            </w:pPr>
            <w:r>
              <w:rPr>
                <w:rFonts w:ascii="Arial" w:eastAsia="Arial" w:hAnsi="Arial" w:cs="Arial"/>
                <w:color w:val="231F20"/>
                <w:sz w:val="18"/>
                <w:szCs w:val="18"/>
              </w:rPr>
              <w:t>GSHIP, partial fee remission*</w:t>
            </w:r>
          </w:p>
        </w:tc>
      </w:tr>
      <w:tr w:rsidR="00C4460F" w14:paraId="201DD0FD" w14:textId="77777777">
        <w:trPr>
          <w:trHeight w:val="319"/>
        </w:trPr>
        <w:tc>
          <w:tcPr>
            <w:tcW w:w="2856" w:type="dxa"/>
          </w:tcPr>
          <w:p w14:paraId="0933F740" w14:textId="77777777" w:rsidR="00C4460F" w:rsidRDefault="00000000">
            <w:pPr>
              <w:widowControl w:val="0"/>
              <w:pBdr>
                <w:top w:val="nil"/>
                <w:left w:val="nil"/>
                <w:bottom w:val="nil"/>
                <w:right w:val="nil"/>
                <w:between w:val="nil"/>
              </w:pBdr>
              <w:tabs>
                <w:tab w:val="right" w:pos="720"/>
              </w:tabs>
              <w:spacing w:line="276" w:lineRule="auto"/>
              <w:ind w:left="80"/>
              <w:rPr>
                <w:rFonts w:ascii="Arial" w:eastAsia="Arial" w:hAnsi="Arial" w:cs="Arial"/>
                <w:color w:val="000000"/>
                <w:sz w:val="18"/>
                <w:szCs w:val="18"/>
              </w:rPr>
            </w:pPr>
            <w:r>
              <w:rPr>
                <w:rFonts w:ascii="Arial" w:eastAsia="Arial" w:hAnsi="Arial" w:cs="Arial"/>
                <w:color w:val="231F20"/>
                <w:sz w:val="18"/>
                <w:szCs w:val="18"/>
              </w:rPr>
              <w:t>35% GSR &amp; 25% TA</w:t>
            </w:r>
          </w:p>
        </w:tc>
        <w:tc>
          <w:tcPr>
            <w:tcW w:w="5040" w:type="dxa"/>
          </w:tcPr>
          <w:p w14:paraId="29A0FD30" w14:textId="77777777" w:rsidR="00C4460F" w:rsidRDefault="00000000">
            <w:pPr>
              <w:widowControl w:val="0"/>
              <w:pBdr>
                <w:top w:val="nil"/>
                <w:left w:val="nil"/>
                <w:bottom w:val="nil"/>
                <w:right w:val="nil"/>
                <w:between w:val="nil"/>
              </w:pBdr>
              <w:tabs>
                <w:tab w:val="right" w:pos="720"/>
              </w:tabs>
              <w:spacing w:line="276" w:lineRule="auto"/>
              <w:ind w:left="79"/>
              <w:rPr>
                <w:rFonts w:ascii="Arial" w:eastAsia="Arial" w:hAnsi="Arial" w:cs="Arial"/>
                <w:color w:val="000000"/>
                <w:sz w:val="18"/>
                <w:szCs w:val="18"/>
              </w:rPr>
            </w:pPr>
            <w:r>
              <w:rPr>
                <w:rFonts w:ascii="Arial" w:eastAsia="Arial" w:hAnsi="Arial" w:cs="Arial"/>
                <w:color w:val="231F20"/>
                <w:sz w:val="18"/>
                <w:szCs w:val="18"/>
              </w:rPr>
              <w:t>GSHIP, full fees, nonresident tuition where applicable</w:t>
            </w:r>
          </w:p>
        </w:tc>
      </w:tr>
      <w:tr w:rsidR="00C4460F" w14:paraId="76B7E97B" w14:textId="77777777">
        <w:trPr>
          <w:trHeight w:val="319"/>
        </w:trPr>
        <w:tc>
          <w:tcPr>
            <w:tcW w:w="2856" w:type="dxa"/>
          </w:tcPr>
          <w:p w14:paraId="32E73661" w14:textId="77777777" w:rsidR="00C4460F" w:rsidRDefault="00000000">
            <w:pPr>
              <w:widowControl w:val="0"/>
              <w:pBdr>
                <w:top w:val="nil"/>
                <w:left w:val="nil"/>
                <w:bottom w:val="nil"/>
                <w:right w:val="nil"/>
                <w:between w:val="nil"/>
              </w:pBdr>
              <w:tabs>
                <w:tab w:val="right" w:pos="720"/>
              </w:tabs>
              <w:spacing w:line="276" w:lineRule="auto"/>
              <w:ind w:left="80"/>
              <w:rPr>
                <w:rFonts w:ascii="Arial" w:eastAsia="Arial" w:hAnsi="Arial" w:cs="Arial"/>
                <w:color w:val="000000"/>
                <w:sz w:val="18"/>
                <w:szCs w:val="18"/>
              </w:rPr>
            </w:pPr>
            <w:r>
              <w:rPr>
                <w:rFonts w:ascii="Arial" w:eastAsia="Arial" w:hAnsi="Arial" w:cs="Arial"/>
                <w:color w:val="231F20"/>
                <w:sz w:val="18"/>
                <w:szCs w:val="18"/>
              </w:rPr>
              <w:t>35% GSR</w:t>
            </w:r>
          </w:p>
        </w:tc>
        <w:tc>
          <w:tcPr>
            <w:tcW w:w="5040" w:type="dxa"/>
          </w:tcPr>
          <w:p w14:paraId="6B1DF11E" w14:textId="77777777" w:rsidR="00C4460F" w:rsidRDefault="00000000">
            <w:pPr>
              <w:widowControl w:val="0"/>
              <w:pBdr>
                <w:top w:val="nil"/>
                <w:left w:val="nil"/>
                <w:bottom w:val="nil"/>
                <w:right w:val="nil"/>
                <w:between w:val="nil"/>
              </w:pBdr>
              <w:tabs>
                <w:tab w:val="right" w:pos="720"/>
              </w:tabs>
              <w:spacing w:line="276" w:lineRule="auto"/>
              <w:ind w:left="79"/>
              <w:rPr>
                <w:rFonts w:ascii="Arial" w:eastAsia="Arial" w:hAnsi="Arial" w:cs="Arial"/>
                <w:color w:val="000000"/>
                <w:sz w:val="18"/>
                <w:szCs w:val="18"/>
              </w:rPr>
            </w:pPr>
            <w:r>
              <w:rPr>
                <w:rFonts w:ascii="Arial" w:eastAsia="Arial" w:hAnsi="Arial" w:cs="Arial"/>
                <w:color w:val="231F20"/>
                <w:sz w:val="18"/>
                <w:szCs w:val="18"/>
              </w:rPr>
              <w:t>GSHIP, full fees, nonresident tuition where applicable</w:t>
            </w:r>
          </w:p>
        </w:tc>
      </w:tr>
      <w:tr w:rsidR="00C4460F" w14:paraId="1D385432" w14:textId="77777777">
        <w:trPr>
          <w:trHeight w:val="319"/>
        </w:trPr>
        <w:tc>
          <w:tcPr>
            <w:tcW w:w="2856" w:type="dxa"/>
          </w:tcPr>
          <w:p w14:paraId="08850EF2" w14:textId="77777777" w:rsidR="00C4460F" w:rsidRDefault="00000000">
            <w:pPr>
              <w:widowControl w:val="0"/>
              <w:pBdr>
                <w:top w:val="nil"/>
                <w:left w:val="nil"/>
                <w:bottom w:val="nil"/>
                <w:right w:val="nil"/>
                <w:between w:val="nil"/>
              </w:pBdr>
              <w:tabs>
                <w:tab w:val="right" w:pos="720"/>
              </w:tabs>
              <w:spacing w:line="276" w:lineRule="auto"/>
              <w:ind w:left="80"/>
              <w:rPr>
                <w:rFonts w:ascii="Arial" w:eastAsia="Arial" w:hAnsi="Arial" w:cs="Arial"/>
                <w:color w:val="000000"/>
                <w:sz w:val="18"/>
                <w:szCs w:val="18"/>
              </w:rPr>
            </w:pPr>
            <w:r>
              <w:rPr>
                <w:rFonts w:ascii="Arial" w:eastAsia="Arial" w:hAnsi="Arial" w:cs="Arial"/>
                <w:color w:val="231F20"/>
                <w:sz w:val="18"/>
                <w:szCs w:val="18"/>
              </w:rPr>
              <w:lastRenderedPageBreak/>
              <w:t>49% GSR</w:t>
            </w:r>
          </w:p>
        </w:tc>
        <w:tc>
          <w:tcPr>
            <w:tcW w:w="5040" w:type="dxa"/>
          </w:tcPr>
          <w:p w14:paraId="739B05BF" w14:textId="77777777" w:rsidR="00C4460F" w:rsidRDefault="00000000">
            <w:pPr>
              <w:widowControl w:val="0"/>
              <w:pBdr>
                <w:top w:val="nil"/>
                <w:left w:val="nil"/>
                <w:bottom w:val="nil"/>
                <w:right w:val="nil"/>
                <w:between w:val="nil"/>
              </w:pBdr>
              <w:tabs>
                <w:tab w:val="right" w:pos="720"/>
              </w:tabs>
              <w:spacing w:line="276" w:lineRule="auto"/>
              <w:ind w:left="79"/>
              <w:rPr>
                <w:rFonts w:ascii="Arial" w:eastAsia="Arial" w:hAnsi="Arial" w:cs="Arial"/>
                <w:color w:val="000000"/>
                <w:sz w:val="18"/>
                <w:szCs w:val="18"/>
              </w:rPr>
            </w:pPr>
            <w:r>
              <w:rPr>
                <w:rFonts w:ascii="Arial" w:eastAsia="Arial" w:hAnsi="Arial" w:cs="Arial"/>
                <w:color w:val="231F20"/>
                <w:sz w:val="18"/>
                <w:szCs w:val="18"/>
              </w:rPr>
              <w:t>GSHIP, full fees, nonresident tuition where applicable</w:t>
            </w:r>
          </w:p>
        </w:tc>
      </w:tr>
    </w:tbl>
    <w:p w14:paraId="1502B38B"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 Partial = 100% of tuition and student services fee and does not include campus-based fees </w:t>
      </w:r>
    </w:p>
    <w:p w14:paraId="23AEA9E0"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EB7A9B3" w14:textId="77777777" w:rsidR="00C4460F" w:rsidRDefault="00000000">
      <w:pPr>
        <w:pStyle w:val="Heading2"/>
        <w:spacing w:line="276" w:lineRule="auto"/>
        <w:rPr>
          <w:rFonts w:ascii="Arial" w:eastAsia="Arial" w:hAnsi="Arial" w:cs="Arial"/>
        </w:rPr>
      </w:pPr>
      <w:bookmarkStart w:id="60" w:name="_heading=h.q7i6rljns4w2" w:colFirst="0" w:colLast="0"/>
      <w:bookmarkEnd w:id="60"/>
      <w:r>
        <w:rPr>
          <w:rFonts w:ascii="Arial" w:eastAsia="Arial" w:hAnsi="Arial" w:cs="Arial"/>
        </w:rPr>
        <w:t xml:space="preserve">Super Reader: </w:t>
      </w:r>
    </w:p>
    <w:p w14:paraId="66F62220"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Graduate Super Reader- Assigned by the department and by a faculty member for assistance in classroom work (normally grading exams, papers, in-class time when relevant). Guiding formula - one hour of Reader time per quarter for each student </w:t>
      </w:r>
      <w:proofErr w:type="gramStart"/>
      <w:r>
        <w:rPr>
          <w:rFonts w:ascii="Arial" w:eastAsia="Arial" w:hAnsi="Arial" w:cs="Arial"/>
          <w:color w:val="231F20"/>
          <w:sz w:val="20"/>
          <w:szCs w:val="20"/>
        </w:rPr>
        <w:t>in excess of</w:t>
      </w:r>
      <w:proofErr w:type="gramEnd"/>
      <w:r>
        <w:rPr>
          <w:rFonts w:ascii="Arial" w:eastAsia="Arial" w:hAnsi="Arial" w:cs="Arial"/>
          <w:color w:val="231F20"/>
          <w:sz w:val="20"/>
          <w:szCs w:val="20"/>
        </w:rPr>
        <w:t xml:space="preserve"> a total course enrollment of 30 students and in-class time at the department’s discretion.</w:t>
      </w:r>
    </w:p>
    <w:p w14:paraId="0B880743"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C8B3C73"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49B00F1"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97FC616" w14:textId="77777777" w:rsidR="00C4460F" w:rsidRDefault="00000000">
      <w:pPr>
        <w:pStyle w:val="Heading2"/>
        <w:spacing w:line="276" w:lineRule="auto"/>
        <w:rPr>
          <w:rFonts w:ascii="Arial" w:eastAsia="Arial" w:hAnsi="Arial" w:cs="Arial"/>
        </w:rPr>
      </w:pPr>
      <w:bookmarkStart w:id="61" w:name="_heading=h.j7xv9sqsa4" w:colFirst="0" w:colLast="0"/>
      <w:bookmarkEnd w:id="61"/>
      <w:r>
        <w:rPr>
          <w:rFonts w:ascii="Arial" w:eastAsia="Arial" w:hAnsi="Arial" w:cs="Arial"/>
        </w:rPr>
        <w:t>Need-Based Financial Support:</w:t>
      </w:r>
    </w:p>
    <w:p w14:paraId="45DF1E19"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Graduate students may apply for a variety of need-based awards including work-study and loans through the Financial Aid Office and Need-Based Fee Fellowships through the Department. Students must file the FAFSA (Free Application for Federal Student Aid) each year by the March 2nd deadline and provide the Financial Aid Office with supplemental information as they request it. The FAFSA is available on-line at: or in hard copy at the Financial Aid Office, (805) 893-2432.</w:t>
      </w:r>
    </w:p>
    <w:p w14:paraId="1B927256"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C390B22" w14:textId="77777777" w:rsidR="00C4460F" w:rsidRDefault="00000000">
      <w:pPr>
        <w:widowControl w:val="0"/>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Employment:</w:t>
      </w:r>
    </w:p>
    <w:p w14:paraId="136CF28B" w14:textId="77777777" w:rsidR="00C4460F" w:rsidRDefault="00000000">
      <w:pPr>
        <w:widowControl w:val="0"/>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Federal law requires employers to certify that every person hired is legally entitled to work in the U.S. This law applies to everyone - native-born American citizens as well as immigrants, foreign visitors, and naturalized citizens. If you intend to work for pay for any employer, either on or off campus, you must provide documentation of your eligibility to work before you can be hired or re-hired. No one will be hired or re-hired at UCSB for any position, including academic appointments (Teaching Assistants, Graduate Student Researchers, etc.), without proof of eligibility to work. </w:t>
      </w:r>
    </w:p>
    <w:p w14:paraId="55A17425"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DF18B61"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67CDD35" w14:textId="77777777" w:rsidR="00C4460F" w:rsidRDefault="00000000">
      <w:pPr>
        <w:pStyle w:val="Heading2"/>
        <w:spacing w:line="276" w:lineRule="auto"/>
        <w:rPr>
          <w:rFonts w:ascii="Arial" w:eastAsia="Arial" w:hAnsi="Arial" w:cs="Arial"/>
          <w:b/>
          <w:bCs/>
        </w:rPr>
      </w:pPr>
      <w:bookmarkStart w:id="62" w:name="_heading=h.4f6eg7pewugn" w:colFirst="0" w:colLast="0"/>
      <w:bookmarkEnd w:id="62"/>
      <w:r>
        <w:rPr>
          <w:rFonts w:ascii="Arial" w:eastAsia="Arial" w:hAnsi="Arial" w:cs="Arial"/>
        </w:rPr>
        <w:t xml:space="preserve">Establishing Residency </w:t>
      </w:r>
    </w:p>
    <w:p w14:paraId="1F3F1359"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Since out-of-state residents must pay over $15,102 </w:t>
      </w:r>
      <w:proofErr w:type="gramStart"/>
      <w:r>
        <w:rPr>
          <w:rFonts w:ascii="Arial" w:eastAsia="Arial" w:hAnsi="Arial" w:cs="Arial"/>
          <w:color w:val="231F20"/>
          <w:sz w:val="20"/>
          <w:szCs w:val="20"/>
        </w:rPr>
        <w:t>in excess of</w:t>
      </w:r>
      <w:proofErr w:type="gramEnd"/>
      <w:r>
        <w:rPr>
          <w:rFonts w:ascii="Arial" w:eastAsia="Arial" w:hAnsi="Arial" w:cs="Arial"/>
          <w:color w:val="231F20"/>
          <w:sz w:val="20"/>
          <w:szCs w:val="20"/>
        </w:rPr>
        <w:t xml:space="preserve"> what California residents pay for tuition each year, California residency is valuable and may be obtained after one year of residency in California. The Office of the Registrar, using information provided by the student, determines the residency status of new students. Out-of-state students who are U.S. citizens cannot expect more than one year of support, </w:t>
      </w:r>
      <w:proofErr w:type="gramStart"/>
      <w:r>
        <w:rPr>
          <w:rFonts w:ascii="Arial" w:eastAsia="Arial" w:hAnsi="Arial" w:cs="Arial"/>
          <w:color w:val="231F20"/>
          <w:sz w:val="20"/>
          <w:szCs w:val="20"/>
        </w:rPr>
        <w:t>since</w:t>
      </w:r>
      <w:proofErr w:type="gramEnd"/>
      <w:r>
        <w:rPr>
          <w:rFonts w:ascii="Arial" w:eastAsia="Arial" w:hAnsi="Arial" w:cs="Arial"/>
          <w:color w:val="231F20"/>
          <w:sz w:val="20"/>
          <w:szCs w:val="20"/>
        </w:rPr>
        <w:t xml:space="preserve"> one year on campus is normally sufficient to establish California residency. It is your responsibility to file for California residency.</w:t>
      </w:r>
    </w:p>
    <w:p w14:paraId="51D5EFAF"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758E8D0"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There are three basic components in the residency determination process:</w:t>
      </w:r>
    </w:p>
    <w:p w14:paraId="48E83E0A" w14:textId="77777777" w:rsidR="00C4460F" w:rsidRDefault="00000000">
      <w:pPr>
        <w:widowControl w:val="0"/>
        <w:numPr>
          <w:ilvl w:val="0"/>
          <w:numId w:val="15"/>
        </w:numPr>
        <w:pBdr>
          <w:top w:val="nil"/>
          <w:left w:val="nil"/>
          <w:bottom w:val="nil"/>
          <w:right w:val="nil"/>
          <w:between w:val="nil"/>
        </w:pBdr>
        <w:spacing w:line="276" w:lineRule="auto"/>
        <w:jc w:val="both"/>
        <w:rPr>
          <w:rFonts w:ascii="Avenir" w:eastAsia="Avenir" w:hAnsi="Avenir" w:cs="Avenir"/>
          <w:color w:val="000000"/>
          <w:sz w:val="18"/>
          <w:szCs w:val="18"/>
        </w:rPr>
      </w:pPr>
      <w:r>
        <w:rPr>
          <w:rFonts w:ascii="Arial" w:eastAsia="Arial" w:hAnsi="Arial" w:cs="Arial"/>
          <w:b/>
          <w:bCs/>
          <w:color w:val="231F20"/>
          <w:sz w:val="18"/>
          <w:szCs w:val="18"/>
        </w:rPr>
        <w:t>Physical presence:</w:t>
      </w:r>
      <w:r>
        <w:rPr>
          <w:rFonts w:ascii="Arial" w:eastAsia="Arial" w:hAnsi="Arial" w:cs="Arial"/>
          <w:color w:val="231F20"/>
          <w:sz w:val="18"/>
          <w:szCs w:val="18"/>
        </w:rPr>
        <w:t xml:space="preserve"> has the student lived here for at least a year and a day.</w:t>
      </w:r>
    </w:p>
    <w:p w14:paraId="10A0F49B" w14:textId="77777777" w:rsidR="00C4460F" w:rsidRDefault="00000000">
      <w:pPr>
        <w:widowControl w:val="0"/>
        <w:numPr>
          <w:ilvl w:val="0"/>
          <w:numId w:val="15"/>
        </w:numPr>
        <w:pBdr>
          <w:top w:val="nil"/>
          <w:left w:val="nil"/>
          <w:bottom w:val="nil"/>
          <w:right w:val="nil"/>
          <w:between w:val="nil"/>
        </w:pBdr>
        <w:spacing w:line="276" w:lineRule="auto"/>
        <w:jc w:val="both"/>
        <w:rPr>
          <w:rFonts w:ascii="Avenir" w:eastAsia="Avenir" w:hAnsi="Avenir" w:cs="Avenir"/>
          <w:color w:val="231F20"/>
          <w:sz w:val="18"/>
          <w:szCs w:val="18"/>
        </w:rPr>
      </w:pPr>
      <w:r>
        <w:rPr>
          <w:rFonts w:ascii="Arial" w:eastAsia="Arial" w:hAnsi="Arial" w:cs="Arial"/>
          <w:b/>
          <w:bCs/>
          <w:color w:val="231F20"/>
          <w:sz w:val="18"/>
          <w:szCs w:val="18"/>
        </w:rPr>
        <w:t>Financial independence:</w:t>
      </w:r>
      <w:r>
        <w:rPr>
          <w:rFonts w:ascii="Arial" w:eastAsia="Arial" w:hAnsi="Arial" w:cs="Arial"/>
          <w:color w:val="231F20"/>
          <w:sz w:val="18"/>
          <w:szCs w:val="18"/>
        </w:rPr>
        <w:t xml:space="preserve"> A student is considered “financially independent” if one or more of the following applies:</w:t>
      </w:r>
    </w:p>
    <w:p w14:paraId="09D4922A" w14:textId="77777777" w:rsidR="00C4460F" w:rsidRDefault="00000000">
      <w:pPr>
        <w:widowControl w:val="0"/>
        <w:numPr>
          <w:ilvl w:val="0"/>
          <w:numId w:val="16"/>
        </w:numPr>
        <w:pBdr>
          <w:top w:val="nil"/>
          <w:left w:val="nil"/>
          <w:bottom w:val="nil"/>
          <w:right w:val="nil"/>
          <w:between w:val="nil"/>
        </w:pBdr>
        <w:spacing w:line="276" w:lineRule="auto"/>
        <w:rPr>
          <w:rFonts w:ascii="Arial" w:eastAsia="Arial" w:hAnsi="Arial" w:cs="Arial"/>
          <w:color w:val="231F20"/>
          <w:sz w:val="18"/>
          <w:szCs w:val="18"/>
        </w:rPr>
      </w:pPr>
      <w:r>
        <w:rPr>
          <w:rFonts w:ascii="Arial" w:eastAsia="Arial" w:hAnsi="Arial" w:cs="Arial"/>
          <w:color w:val="231F20"/>
          <w:sz w:val="18"/>
          <w:szCs w:val="18"/>
        </w:rPr>
        <w:t>is at least 24 years of age by Dec 31 of the year the applicant requests residence classification</w:t>
      </w:r>
    </w:p>
    <w:p w14:paraId="3AF7FD0C" w14:textId="77777777" w:rsidR="00C4460F" w:rsidRDefault="00000000">
      <w:pPr>
        <w:widowControl w:val="0"/>
        <w:numPr>
          <w:ilvl w:val="0"/>
          <w:numId w:val="16"/>
        </w:numPr>
        <w:pBdr>
          <w:top w:val="nil"/>
          <w:left w:val="nil"/>
          <w:bottom w:val="nil"/>
          <w:right w:val="nil"/>
          <w:between w:val="nil"/>
        </w:pBdr>
        <w:spacing w:line="276" w:lineRule="auto"/>
        <w:rPr>
          <w:rFonts w:ascii="Arial" w:eastAsia="Arial" w:hAnsi="Arial" w:cs="Arial"/>
          <w:color w:val="231F20"/>
          <w:sz w:val="18"/>
          <w:szCs w:val="18"/>
        </w:rPr>
      </w:pPr>
      <w:r>
        <w:rPr>
          <w:rFonts w:ascii="Arial" w:eastAsia="Arial" w:hAnsi="Arial" w:cs="Arial"/>
          <w:color w:val="231F20"/>
          <w:sz w:val="18"/>
          <w:szCs w:val="18"/>
        </w:rPr>
        <w:t>is a veteran of the U.S. Armed Forces</w:t>
      </w:r>
    </w:p>
    <w:p w14:paraId="56B37A24" w14:textId="77777777" w:rsidR="00C4460F" w:rsidRDefault="00000000">
      <w:pPr>
        <w:widowControl w:val="0"/>
        <w:numPr>
          <w:ilvl w:val="0"/>
          <w:numId w:val="16"/>
        </w:numPr>
        <w:pBdr>
          <w:top w:val="nil"/>
          <w:left w:val="nil"/>
          <w:bottom w:val="nil"/>
          <w:right w:val="nil"/>
          <w:between w:val="nil"/>
        </w:pBdr>
        <w:spacing w:line="276" w:lineRule="auto"/>
        <w:rPr>
          <w:rFonts w:ascii="Arial" w:eastAsia="Arial" w:hAnsi="Arial" w:cs="Arial"/>
          <w:color w:val="231F20"/>
          <w:sz w:val="18"/>
          <w:szCs w:val="18"/>
        </w:rPr>
      </w:pPr>
      <w:r>
        <w:rPr>
          <w:rFonts w:ascii="Arial" w:eastAsia="Arial" w:hAnsi="Arial" w:cs="Arial"/>
          <w:color w:val="231F20"/>
          <w:sz w:val="18"/>
          <w:szCs w:val="18"/>
        </w:rPr>
        <w:t>is a ward of the court or both parents are deceased</w:t>
      </w:r>
    </w:p>
    <w:p w14:paraId="3E61AD8A" w14:textId="77777777" w:rsidR="00C4460F" w:rsidRDefault="00000000">
      <w:pPr>
        <w:widowControl w:val="0"/>
        <w:numPr>
          <w:ilvl w:val="0"/>
          <w:numId w:val="16"/>
        </w:numPr>
        <w:pBdr>
          <w:top w:val="nil"/>
          <w:left w:val="nil"/>
          <w:bottom w:val="nil"/>
          <w:right w:val="nil"/>
          <w:between w:val="nil"/>
        </w:pBdr>
        <w:spacing w:line="276" w:lineRule="auto"/>
        <w:rPr>
          <w:rFonts w:ascii="Arial" w:eastAsia="Arial" w:hAnsi="Arial" w:cs="Arial"/>
          <w:color w:val="231F20"/>
          <w:sz w:val="18"/>
          <w:szCs w:val="18"/>
        </w:rPr>
      </w:pPr>
      <w:r>
        <w:rPr>
          <w:rFonts w:ascii="Arial" w:eastAsia="Arial" w:hAnsi="Arial" w:cs="Arial"/>
          <w:color w:val="231F20"/>
          <w:sz w:val="18"/>
          <w:szCs w:val="18"/>
        </w:rPr>
        <w:t>has legal dependents other than a spouse,</w:t>
      </w:r>
    </w:p>
    <w:p w14:paraId="444B67A4" w14:textId="77777777" w:rsidR="00C4460F" w:rsidRDefault="00000000">
      <w:pPr>
        <w:widowControl w:val="0"/>
        <w:numPr>
          <w:ilvl w:val="0"/>
          <w:numId w:val="16"/>
        </w:numPr>
        <w:pBdr>
          <w:top w:val="nil"/>
          <w:left w:val="nil"/>
          <w:bottom w:val="nil"/>
          <w:right w:val="nil"/>
          <w:between w:val="nil"/>
        </w:pBdr>
        <w:spacing w:line="276" w:lineRule="auto"/>
        <w:rPr>
          <w:rFonts w:ascii="Arial" w:eastAsia="Arial" w:hAnsi="Arial" w:cs="Arial"/>
          <w:color w:val="231F20"/>
          <w:sz w:val="18"/>
          <w:szCs w:val="18"/>
        </w:rPr>
      </w:pPr>
      <w:r>
        <w:rPr>
          <w:rFonts w:ascii="Arial" w:eastAsia="Arial" w:hAnsi="Arial" w:cs="Arial"/>
          <w:color w:val="231F20"/>
          <w:sz w:val="18"/>
          <w:szCs w:val="18"/>
        </w:rPr>
        <w:t xml:space="preserve">is married, or a graduate student or professional student, and will not be claimed as an income tax deduction by his or her parents or any other individual for the one calendar year immediately preceding the term for which the request for resident classification is made </w:t>
      </w:r>
    </w:p>
    <w:p w14:paraId="1BD3D69F" w14:textId="77777777" w:rsidR="00C4460F" w:rsidRDefault="00000000">
      <w:pPr>
        <w:widowControl w:val="0"/>
        <w:numPr>
          <w:ilvl w:val="0"/>
          <w:numId w:val="16"/>
        </w:numPr>
        <w:pBdr>
          <w:top w:val="nil"/>
          <w:left w:val="nil"/>
          <w:bottom w:val="nil"/>
          <w:right w:val="nil"/>
          <w:between w:val="nil"/>
        </w:pBdr>
        <w:spacing w:line="276" w:lineRule="auto"/>
        <w:rPr>
          <w:rFonts w:ascii="Arial" w:eastAsia="Arial" w:hAnsi="Arial" w:cs="Arial"/>
          <w:color w:val="231F20"/>
          <w:sz w:val="18"/>
          <w:szCs w:val="18"/>
        </w:rPr>
      </w:pPr>
      <w:r>
        <w:rPr>
          <w:rFonts w:ascii="Arial" w:eastAsia="Arial" w:hAnsi="Arial" w:cs="Arial"/>
          <w:color w:val="231F20"/>
          <w:sz w:val="18"/>
          <w:szCs w:val="18"/>
        </w:rPr>
        <w:t>is a single undergraduate student and was not claimed by his or her parents or any other individual for the two years immediately preceding the term for which the request for resident classification is made</w:t>
      </w:r>
    </w:p>
    <w:p w14:paraId="28DD55A6" w14:textId="77777777" w:rsidR="00C4460F" w:rsidRDefault="00000000">
      <w:pPr>
        <w:widowControl w:val="0"/>
        <w:numPr>
          <w:ilvl w:val="0"/>
          <w:numId w:val="15"/>
        </w:numPr>
        <w:pBdr>
          <w:top w:val="nil"/>
          <w:left w:val="nil"/>
          <w:bottom w:val="nil"/>
          <w:right w:val="nil"/>
          <w:between w:val="nil"/>
        </w:pBdr>
        <w:spacing w:line="276" w:lineRule="auto"/>
        <w:ind w:right="110"/>
        <w:jc w:val="both"/>
        <w:rPr>
          <w:rFonts w:ascii="Avenir" w:eastAsia="Avenir" w:hAnsi="Avenir" w:cs="Avenir"/>
          <w:color w:val="000000"/>
          <w:sz w:val="18"/>
          <w:szCs w:val="18"/>
          <w:u w:val="single"/>
        </w:rPr>
      </w:pPr>
      <w:r>
        <w:rPr>
          <w:rFonts w:ascii="Arial" w:eastAsia="Arial" w:hAnsi="Arial" w:cs="Arial"/>
          <w:b/>
          <w:bCs/>
          <w:color w:val="231F20"/>
          <w:sz w:val="18"/>
          <w:szCs w:val="18"/>
        </w:rPr>
        <w:t>Intent:</w:t>
      </w:r>
      <w:r>
        <w:rPr>
          <w:rFonts w:ascii="Arial" w:eastAsia="Arial" w:hAnsi="Arial" w:cs="Arial"/>
          <w:color w:val="231F20"/>
          <w:sz w:val="18"/>
          <w:szCs w:val="18"/>
        </w:rPr>
        <w:t xml:space="preserve"> Has the student demonstrated intent to make California his or her permanent home? Relevant proof of </w:t>
      </w:r>
      <w:r>
        <w:rPr>
          <w:rFonts w:ascii="Arial" w:eastAsia="Arial" w:hAnsi="Arial" w:cs="Arial"/>
          <w:color w:val="231F20"/>
          <w:sz w:val="18"/>
          <w:szCs w:val="18"/>
        </w:rPr>
        <w:lastRenderedPageBreak/>
        <w:t xml:space="preserve">intent includes: obtaining a CA driver’s license and registering your motor vehicle in CA; obtaining a CA identification card; registering to vote and voting in CA elections; using a CA address on W-2 forms and tax returns; paying CA income tax as a resident; establishing and maintaining active bank accounts in CA; registering with the Selective Service in CA; owning residential property or continuously occupying rented or leased property in CA; the presence of spouse, children or other close relatives in CA or obtaining a divorce in CA; applying for loans, scholarships, grants from a CA source. </w:t>
      </w:r>
      <w:r>
        <w:rPr>
          <w:rFonts w:ascii="Arial" w:eastAsia="Arial" w:hAnsi="Arial" w:cs="Arial"/>
          <w:color w:val="231F20"/>
          <w:sz w:val="18"/>
          <w:szCs w:val="18"/>
          <w:u w:val="single"/>
        </w:rPr>
        <w:t>These steps should be taken immediately upon arrival at UCSB, before the first day of classes!</w:t>
      </w:r>
    </w:p>
    <w:p w14:paraId="4E2B8A82"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76D88D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Your actions during the entire academic year as well as your actions during the summer will affect the determination that is made regarding your residence status for tuition purposes. Students may contact the Office of the Registrar (x3033) for counseling on residency questions. The final authority on residency matters rests with the Campus Residence Deputy in the Office of the Registrar </w:t>
      </w:r>
      <w:hyperlink r:id="rId36">
        <w:r>
          <w:rPr>
            <w:rFonts w:ascii="Arial" w:eastAsia="Arial" w:hAnsi="Arial" w:cs="Arial"/>
            <w:color w:val="231F20"/>
            <w:sz w:val="20"/>
            <w:szCs w:val="20"/>
          </w:rPr>
          <w:t xml:space="preserve">&lt;residency@sa.ucsb.edu&gt;. </w:t>
        </w:r>
      </w:hyperlink>
      <w:r>
        <w:rPr>
          <w:rFonts w:ascii="Arial" w:eastAsia="Arial" w:hAnsi="Arial" w:cs="Arial"/>
          <w:color w:val="231F20"/>
          <w:sz w:val="20"/>
          <w:szCs w:val="20"/>
        </w:rPr>
        <w:t xml:space="preserve">Students who leave the state, either on leave of absence or with lapsed status, </w:t>
      </w:r>
      <w:proofErr w:type="gramStart"/>
      <w:r>
        <w:rPr>
          <w:rFonts w:ascii="Arial" w:eastAsia="Arial" w:hAnsi="Arial" w:cs="Arial"/>
          <w:color w:val="231F20"/>
          <w:sz w:val="20"/>
          <w:szCs w:val="20"/>
        </w:rPr>
        <w:t>have to</w:t>
      </w:r>
      <w:proofErr w:type="gramEnd"/>
      <w:r>
        <w:rPr>
          <w:rFonts w:ascii="Arial" w:eastAsia="Arial" w:hAnsi="Arial" w:cs="Arial"/>
          <w:color w:val="231F20"/>
          <w:sz w:val="20"/>
          <w:szCs w:val="20"/>
        </w:rPr>
        <w:t xml:space="preserve"> file a residency statement when they return or reapply.</w:t>
      </w:r>
    </w:p>
    <w:p w14:paraId="4026DA33"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D8D9E63"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In addition, and as of 2015-16, tuition for foreign students (F-1) is assessed in the same way as out-of-state students for the first year of residency in the program. In the years to follow, the tuition for F-1 students is assessed at the same rate as in-state California residents.</w:t>
      </w:r>
    </w:p>
    <w:p w14:paraId="2D01F6DC"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F6826EB"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9A9ECC6" w14:textId="77777777" w:rsidR="00C4460F" w:rsidRDefault="00000000">
      <w:pPr>
        <w:pStyle w:val="Heading2"/>
        <w:spacing w:line="276" w:lineRule="auto"/>
        <w:rPr>
          <w:rFonts w:ascii="Arial" w:eastAsia="Arial" w:hAnsi="Arial" w:cs="Arial"/>
        </w:rPr>
      </w:pPr>
      <w:bookmarkStart w:id="63" w:name="_heading=h.if9y7zkw3hsm" w:colFirst="0" w:colLast="0"/>
      <w:bookmarkEnd w:id="63"/>
      <w:r>
        <w:rPr>
          <w:rFonts w:ascii="Arial" w:eastAsia="Arial" w:hAnsi="Arial" w:cs="Arial"/>
        </w:rPr>
        <w:t>GRADUATE STUDENT TRAVEL FUNDS</w:t>
      </w:r>
    </w:p>
    <w:p w14:paraId="26ED34E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 Doctoral Student Travel Grant awards travel funds to graduate students who have been invited or selected to present a paper, present research, perform or exhibit at a major professional conference or meeting. They are competitive and subject to availability. Applicants must be doctoral students who are advanced to candidacy, or Master of Fine Arts (M.F.A.) students who are in their second year of study and in candidacy prior to travel. Students are eligible to receive two Doctoral Student Travel Grants, one of which can be for international travel, during their graduate career at UCSB. </w:t>
      </w:r>
      <w:r>
        <w:rPr>
          <w:rFonts w:ascii="Arial" w:eastAsia="Arial" w:hAnsi="Arial" w:cs="Arial"/>
          <w:color w:val="000000"/>
          <w:sz w:val="20"/>
          <w:szCs w:val="20"/>
        </w:rPr>
        <w:t xml:space="preserve">Deadline is at least 21 days in advance of travel. </w:t>
      </w:r>
    </w:p>
    <w:p w14:paraId="75128A7B" w14:textId="77777777" w:rsidR="00C4460F" w:rsidRDefault="00000000">
      <w:pPr>
        <w:tabs>
          <w:tab w:val="right" w:pos="720"/>
        </w:tabs>
        <w:spacing w:line="276" w:lineRule="auto"/>
        <w:rPr>
          <w:rFonts w:ascii="Arial" w:eastAsia="Arial" w:hAnsi="Arial" w:cs="Arial"/>
          <w:color w:val="231F20"/>
          <w:sz w:val="18"/>
          <w:szCs w:val="18"/>
        </w:rPr>
      </w:pPr>
      <w:r>
        <w:rPr>
          <w:rFonts w:ascii="Arial" w:eastAsia="Arial" w:hAnsi="Arial" w:cs="Arial"/>
          <w:color w:val="231F20"/>
          <w:sz w:val="18"/>
          <w:szCs w:val="18"/>
        </w:rPr>
        <w:t>To apply please visit the following link:</w:t>
      </w:r>
    </w:p>
    <w:p w14:paraId="63577C5B" w14:textId="77777777" w:rsidR="00C4460F" w:rsidRDefault="00000000">
      <w:pPr>
        <w:tabs>
          <w:tab w:val="right" w:pos="720"/>
        </w:tabs>
        <w:spacing w:line="276" w:lineRule="auto"/>
        <w:rPr>
          <w:rFonts w:ascii="Arial" w:eastAsia="Arial" w:hAnsi="Arial" w:cs="Arial"/>
          <w:color w:val="0000FF"/>
          <w:sz w:val="18"/>
          <w:szCs w:val="18"/>
          <w:u w:val="single"/>
        </w:rPr>
      </w:pPr>
      <w:hyperlink r:id="rId37" w:anchor=":~:text=The%20Doctoral%20Student%20Travel%20Grant,served%20basis%20each%20fiscal%20year.">
        <w:r>
          <w:rPr>
            <w:rFonts w:ascii="Arial" w:eastAsia="Arial" w:hAnsi="Arial" w:cs="Arial"/>
            <w:color w:val="1155CC"/>
            <w:sz w:val="18"/>
            <w:szCs w:val="18"/>
            <w:u w:val="single"/>
          </w:rPr>
          <w:t>UCSB Graduate Student Association- Other Funding</w:t>
        </w:r>
      </w:hyperlink>
    </w:p>
    <w:p w14:paraId="2E4A89A6" w14:textId="77777777" w:rsidR="00C4460F" w:rsidRDefault="00C4460F">
      <w:pPr>
        <w:tabs>
          <w:tab w:val="right" w:pos="720"/>
        </w:tabs>
        <w:spacing w:line="276" w:lineRule="auto"/>
        <w:rPr>
          <w:rFonts w:ascii="Arial" w:eastAsia="Arial" w:hAnsi="Arial" w:cs="Arial"/>
          <w:color w:val="0000FF"/>
          <w:sz w:val="20"/>
          <w:szCs w:val="20"/>
          <w:u w:val="single"/>
        </w:rPr>
      </w:pPr>
    </w:p>
    <w:p w14:paraId="7C8F6FEE" w14:textId="77777777" w:rsidR="00C4460F" w:rsidRDefault="00C4460F">
      <w:pPr>
        <w:tabs>
          <w:tab w:val="right" w:pos="720"/>
        </w:tabs>
        <w:spacing w:line="276" w:lineRule="auto"/>
        <w:rPr>
          <w:rFonts w:ascii="Arial" w:eastAsia="Arial" w:hAnsi="Arial" w:cs="Arial"/>
          <w:color w:val="0000FF"/>
          <w:sz w:val="20"/>
          <w:szCs w:val="20"/>
          <w:u w:val="single"/>
        </w:rPr>
      </w:pPr>
    </w:p>
    <w:p w14:paraId="25C5FA5E"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GSA Representative and Campus Committees: </w:t>
      </w:r>
    </w:p>
    <w:p w14:paraId="3722BA3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 Graduate Students Association (GSA) is the elected representative government for UCSB graduate students. They work to: </w:t>
      </w:r>
    </w:p>
    <w:p w14:paraId="4A4DE608" w14:textId="77777777" w:rsidR="00C4460F" w:rsidRDefault="00000000">
      <w:pPr>
        <w:widowControl w:val="0"/>
        <w:numPr>
          <w:ilvl w:val="0"/>
          <w:numId w:val="22"/>
        </w:numPr>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ensure that graduate student concerns are addressed in campus and off-campus policy decisions</w:t>
      </w:r>
    </w:p>
    <w:p w14:paraId="297EA0E4" w14:textId="77777777" w:rsidR="00C4460F" w:rsidRDefault="00000000">
      <w:pPr>
        <w:widowControl w:val="0"/>
        <w:numPr>
          <w:ilvl w:val="0"/>
          <w:numId w:val="22"/>
        </w:numPr>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provide graduate students with information concerning decisions that are relevant to student life</w:t>
      </w:r>
    </w:p>
    <w:p w14:paraId="79EF1873" w14:textId="77777777" w:rsidR="00C4460F" w:rsidRDefault="00000000">
      <w:pPr>
        <w:widowControl w:val="0"/>
        <w:numPr>
          <w:ilvl w:val="0"/>
          <w:numId w:val="22"/>
        </w:numPr>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provide social activities for UCSB graduate students. </w:t>
      </w:r>
    </w:p>
    <w:p w14:paraId="6489FADF"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C6A2A09"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As a GSA representative (the department has two representatives), you have a large voice in establishing the concerns of graduate students and articulating these concerns to the administration. We have an active graduate program, a lot of committed people and energy. If you can’t be the department representative, then be sure to sign-up to sit on one of the numerous campus committees that shape life here at UCSB. Examples include:</w:t>
      </w:r>
    </w:p>
    <w:p w14:paraId="2FDB59C3" w14:textId="77777777" w:rsidR="00C4460F"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Academic Freedom Committee</w:t>
      </w:r>
    </w:p>
    <w:p w14:paraId="0D0F540D" w14:textId="77777777" w:rsidR="00C4460F"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Alcohol &amp; Drug Task Force</w:t>
      </w:r>
    </w:p>
    <w:p w14:paraId="201831C5" w14:textId="77777777" w:rsidR="00C4460F"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Campus Planning Committee</w:t>
      </w:r>
    </w:p>
    <w:p w14:paraId="5B3A0B23" w14:textId="77777777" w:rsidR="00C4460F"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Financial Aid Advisory Committee</w:t>
      </w:r>
    </w:p>
    <w:p w14:paraId="5CCA1CDF" w14:textId="77777777" w:rsidR="00C4460F"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GSA Teaching Assistant Awards Selection Committee</w:t>
      </w:r>
    </w:p>
    <w:p w14:paraId="50C28B13" w14:textId="77777777" w:rsidR="00C4460F"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lastRenderedPageBreak/>
        <w:t>Graduate Council</w:t>
      </w:r>
    </w:p>
    <w:p w14:paraId="525E3F9A" w14:textId="77777777" w:rsidR="00C4460F"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Natural Reserve System Committee</w:t>
      </w:r>
    </w:p>
    <w:p w14:paraId="04BADFC6" w14:textId="77777777" w:rsidR="00C4460F"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Program Review Panel (modest stipend)</w:t>
      </w:r>
    </w:p>
    <w:p w14:paraId="102766D4" w14:textId="77777777" w:rsidR="00C4460F"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Student Affairs Council (modest stipend)</w:t>
      </w:r>
    </w:p>
    <w:p w14:paraId="52A099D2" w14:textId="77777777" w:rsidR="00C4460F" w:rsidRDefault="00C4460F">
      <w:pPr>
        <w:pStyle w:val="Heading1"/>
        <w:tabs>
          <w:tab w:val="right" w:pos="720"/>
        </w:tabs>
        <w:spacing w:line="276" w:lineRule="auto"/>
        <w:ind w:left="90"/>
        <w:rPr>
          <w:rFonts w:ascii="Arial" w:eastAsia="Arial" w:hAnsi="Arial" w:cs="Arial"/>
          <w:b w:val="0"/>
          <w:bCs w:val="0"/>
          <w:color w:val="231F20"/>
        </w:rPr>
      </w:pPr>
    </w:p>
    <w:p w14:paraId="763A0014" w14:textId="77777777" w:rsidR="00C4460F" w:rsidRDefault="00C4460F">
      <w:pPr>
        <w:widowControl w:val="0"/>
        <w:tabs>
          <w:tab w:val="right" w:pos="720"/>
        </w:tabs>
        <w:spacing w:line="276" w:lineRule="auto"/>
        <w:rPr>
          <w:rFonts w:ascii="Arial" w:eastAsia="Arial" w:hAnsi="Arial" w:cs="Arial"/>
          <w:color w:val="231F20"/>
        </w:rPr>
      </w:pPr>
    </w:p>
    <w:p w14:paraId="2A21E399" w14:textId="77777777" w:rsidR="00C4460F" w:rsidRDefault="00C4460F">
      <w:pPr>
        <w:widowControl w:val="0"/>
        <w:tabs>
          <w:tab w:val="right" w:pos="720"/>
        </w:tabs>
        <w:spacing w:line="276" w:lineRule="auto"/>
        <w:rPr>
          <w:rFonts w:ascii="Arial" w:eastAsia="Arial" w:hAnsi="Arial" w:cs="Arial"/>
          <w:color w:val="231F20"/>
        </w:rPr>
      </w:pPr>
    </w:p>
    <w:p w14:paraId="71252072" w14:textId="77777777" w:rsidR="00C4460F" w:rsidRDefault="00C4460F">
      <w:pPr>
        <w:widowControl w:val="0"/>
        <w:tabs>
          <w:tab w:val="right" w:pos="720"/>
        </w:tabs>
        <w:spacing w:line="276" w:lineRule="auto"/>
        <w:rPr>
          <w:rFonts w:ascii="Arial" w:eastAsia="Arial" w:hAnsi="Arial" w:cs="Arial"/>
          <w:color w:val="231F20"/>
        </w:rPr>
      </w:pPr>
    </w:p>
    <w:p w14:paraId="385ABAA3" w14:textId="77777777" w:rsidR="00C4460F" w:rsidRDefault="00C4460F">
      <w:pPr>
        <w:widowControl w:val="0"/>
        <w:tabs>
          <w:tab w:val="right" w:pos="720"/>
        </w:tabs>
        <w:spacing w:line="276" w:lineRule="auto"/>
        <w:rPr>
          <w:rFonts w:ascii="Arial" w:eastAsia="Arial" w:hAnsi="Arial" w:cs="Arial"/>
          <w:color w:val="231F20"/>
        </w:rPr>
      </w:pPr>
    </w:p>
    <w:p w14:paraId="0BB6D769" w14:textId="77777777" w:rsidR="00C4460F" w:rsidRDefault="00C4460F">
      <w:pPr>
        <w:widowControl w:val="0"/>
        <w:tabs>
          <w:tab w:val="right" w:pos="720"/>
        </w:tabs>
        <w:spacing w:line="276" w:lineRule="auto"/>
        <w:rPr>
          <w:rFonts w:ascii="Arial" w:eastAsia="Arial" w:hAnsi="Arial" w:cs="Arial"/>
          <w:color w:val="231F20"/>
        </w:rPr>
      </w:pPr>
    </w:p>
    <w:p w14:paraId="0072829B" w14:textId="77777777" w:rsidR="00C4460F" w:rsidRDefault="00C4460F">
      <w:pPr>
        <w:widowControl w:val="0"/>
        <w:tabs>
          <w:tab w:val="right" w:pos="720"/>
        </w:tabs>
        <w:spacing w:line="276" w:lineRule="auto"/>
        <w:rPr>
          <w:rFonts w:ascii="Arial" w:eastAsia="Arial" w:hAnsi="Arial" w:cs="Arial"/>
          <w:color w:val="231F20"/>
        </w:rPr>
      </w:pPr>
    </w:p>
    <w:p w14:paraId="44093546" w14:textId="77777777" w:rsidR="00C4460F" w:rsidRDefault="00C4460F">
      <w:pPr>
        <w:widowControl w:val="0"/>
        <w:tabs>
          <w:tab w:val="right" w:pos="720"/>
        </w:tabs>
        <w:spacing w:line="276" w:lineRule="auto"/>
        <w:rPr>
          <w:rFonts w:ascii="Arial" w:eastAsia="Arial" w:hAnsi="Arial" w:cs="Arial"/>
          <w:color w:val="231F20"/>
        </w:rPr>
      </w:pPr>
    </w:p>
    <w:p w14:paraId="304D846A" w14:textId="77777777" w:rsidR="00C4460F" w:rsidRDefault="00C4460F">
      <w:pPr>
        <w:widowControl w:val="0"/>
        <w:tabs>
          <w:tab w:val="right" w:pos="720"/>
        </w:tabs>
        <w:spacing w:line="276" w:lineRule="auto"/>
        <w:rPr>
          <w:rFonts w:ascii="Arial" w:eastAsia="Arial" w:hAnsi="Arial" w:cs="Arial"/>
          <w:color w:val="231F20"/>
        </w:rPr>
      </w:pPr>
    </w:p>
    <w:p w14:paraId="28DDAE7A" w14:textId="77777777" w:rsidR="00C4460F" w:rsidRDefault="00C4460F">
      <w:pPr>
        <w:widowControl w:val="0"/>
        <w:tabs>
          <w:tab w:val="right" w:pos="720"/>
        </w:tabs>
        <w:spacing w:line="276" w:lineRule="auto"/>
        <w:rPr>
          <w:rFonts w:ascii="Arial" w:eastAsia="Arial" w:hAnsi="Arial" w:cs="Arial"/>
          <w:color w:val="231F20"/>
        </w:rPr>
      </w:pPr>
    </w:p>
    <w:p w14:paraId="5B7B3B3C" w14:textId="77777777" w:rsidR="00C4460F" w:rsidRDefault="00C4460F">
      <w:pPr>
        <w:widowControl w:val="0"/>
        <w:tabs>
          <w:tab w:val="right" w:pos="720"/>
        </w:tabs>
        <w:spacing w:line="276" w:lineRule="auto"/>
        <w:rPr>
          <w:rFonts w:ascii="Arial" w:eastAsia="Arial" w:hAnsi="Arial" w:cs="Arial"/>
          <w:color w:val="231F20"/>
        </w:rPr>
      </w:pPr>
    </w:p>
    <w:p w14:paraId="219C607D" w14:textId="77777777" w:rsidR="00C4460F" w:rsidRDefault="00C4460F">
      <w:pPr>
        <w:widowControl w:val="0"/>
        <w:tabs>
          <w:tab w:val="right" w:pos="720"/>
        </w:tabs>
        <w:spacing w:line="276" w:lineRule="auto"/>
        <w:rPr>
          <w:rFonts w:ascii="Arial" w:eastAsia="Arial" w:hAnsi="Arial" w:cs="Arial"/>
          <w:color w:val="231F20"/>
        </w:rPr>
      </w:pPr>
    </w:p>
    <w:p w14:paraId="072E6046" w14:textId="77777777" w:rsidR="00C4460F" w:rsidRDefault="00C4460F">
      <w:pPr>
        <w:widowControl w:val="0"/>
        <w:tabs>
          <w:tab w:val="right" w:pos="720"/>
        </w:tabs>
        <w:spacing w:line="276" w:lineRule="auto"/>
        <w:rPr>
          <w:rFonts w:ascii="Arial" w:eastAsia="Arial" w:hAnsi="Arial" w:cs="Arial"/>
          <w:color w:val="231F20"/>
        </w:rPr>
      </w:pPr>
    </w:p>
    <w:p w14:paraId="19300E23" w14:textId="77777777" w:rsidR="00C4460F" w:rsidRDefault="00C4460F">
      <w:pPr>
        <w:widowControl w:val="0"/>
        <w:tabs>
          <w:tab w:val="right" w:pos="720"/>
        </w:tabs>
        <w:spacing w:line="276" w:lineRule="auto"/>
        <w:rPr>
          <w:rFonts w:ascii="Arial" w:eastAsia="Arial" w:hAnsi="Arial" w:cs="Arial"/>
          <w:color w:val="231F20"/>
        </w:rPr>
      </w:pPr>
    </w:p>
    <w:p w14:paraId="639B0ABC" w14:textId="77777777" w:rsidR="00C4460F" w:rsidRDefault="00C4460F">
      <w:pPr>
        <w:widowControl w:val="0"/>
        <w:tabs>
          <w:tab w:val="right" w:pos="720"/>
        </w:tabs>
        <w:spacing w:line="276" w:lineRule="auto"/>
        <w:rPr>
          <w:rFonts w:ascii="Arial" w:eastAsia="Arial" w:hAnsi="Arial" w:cs="Arial"/>
          <w:b/>
          <w:bCs/>
          <w:color w:val="231F20"/>
          <w:sz w:val="26"/>
          <w:szCs w:val="26"/>
        </w:rPr>
      </w:pPr>
    </w:p>
    <w:p w14:paraId="4DF7CD13" w14:textId="77777777" w:rsidR="00C4460F" w:rsidRDefault="00000000">
      <w:pPr>
        <w:pStyle w:val="Heading1"/>
        <w:tabs>
          <w:tab w:val="right" w:pos="720"/>
        </w:tabs>
        <w:spacing w:line="276" w:lineRule="auto"/>
        <w:ind w:left="0"/>
        <w:rPr>
          <w:rFonts w:ascii="Arial" w:eastAsia="Arial" w:hAnsi="Arial" w:cs="Arial"/>
          <w:b w:val="0"/>
          <w:bCs w:val="0"/>
          <w:color w:val="231F20"/>
        </w:rPr>
      </w:pPr>
      <w:bookmarkStart w:id="64" w:name="_heading=h.zud3ogw9rn6" w:colFirst="0" w:colLast="0"/>
      <w:bookmarkEnd w:id="64"/>
      <w:r>
        <w:rPr>
          <w:rFonts w:ascii="Arial" w:eastAsia="Arial" w:hAnsi="Arial" w:cs="Arial"/>
          <w:b w:val="0"/>
          <w:bCs w:val="0"/>
          <w:color w:val="231F20"/>
        </w:rPr>
        <w:t>APPENDIX</w:t>
      </w:r>
    </w:p>
    <w:p w14:paraId="368338A1" w14:textId="77777777" w:rsidR="00C4460F" w:rsidRDefault="00C4460F">
      <w:pPr>
        <w:pStyle w:val="Heading1"/>
        <w:tabs>
          <w:tab w:val="right" w:pos="720"/>
        </w:tabs>
        <w:spacing w:line="276" w:lineRule="auto"/>
        <w:ind w:left="0"/>
        <w:rPr>
          <w:rFonts w:ascii="Arial" w:eastAsia="Arial" w:hAnsi="Arial" w:cs="Arial"/>
          <w:b w:val="0"/>
          <w:bCs w:val="0"/>
        </w:rPr>
      </w:pPr>
    </w:p>
    <w:p w14:paraId="63205373" w14:textId="77777777" w:rsidR="00C4460F" w:rsidRDefault="00000000">
      <w:pPr>
        <w:pStyle w:val="Heading2"/>
        <w:spacing w:line="276" w:lineRule="auto"/>
        <w:rPr>
          <w:rFonts w:ascii="Arial" w:eastAsia="Arial" w:hAnsi="Arial" w:cs="Arial"/>
          <w:b/>
          <w:bCs/>
        </w:rPr>
      </w:pPr>
      <w:bookmarkStart w:id="65" w:name="_heading=h.jg4dsth0e77b" w:colFirst="0" w:colLast="0"/>
      <w:bookmarkEnd w:id="65"/>
      <w:r>
        <w:rPr>
          <w:rFonts w:ascii="Arial" w:eastAsia="Arial" w:hAnsi="Arial" w:cs="Arial"/>
        </w:rPr>
        <w:t>GENERAL DEPARTMENTAL POLICIES FOR GRADUATE STUDENTS</w:t>
      </w:r>
    </w:p>
    <w:p w14:paraId="6A2E503F"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There are some general Film and Media Studies Department policies that are important to be aware of. If you have any questions about any of them, please ask the front office staff.</w:t>
      </w:r>
    </w:p>
    <w:p w14:paraId="0DC96931"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2D52A49" w14:textId="77777777" w:rsidR="00C4460F" w:rsidRDefault="00000000">
      <w:pPr>
        <w:tabs>
          <w:tab w:val="left" w:pos="480"/>
          <w:tab w:val="right" w:pos="720"/>
        </w:tabs>
        <w:spacing w:line="276" w:lineRule="auto"/>
        <w:jc w:val="both"/>
        <w:rPr>
          <w:rFonts w:ascii="Arial" w:eastAsia="Arial" w:hAnsi="Arial" w:cs="Arial"/>
          <w:color w:val="231F20"/>
          <w:sz w:val="22"/>
          <w:szCs w:val="22"/>
        </w:rPr>
      </w:pPr>
      <w:r>
        <w:rPr>
          <w:rFonts w:ascii="Arial" w:eastAsia="Arial" w:hAnsi="Arial" w:cs="Arial"/>
          <w:color w:val="231F20"/>
          <w:sz w:val="22"/>
          <w:szCs w:val="22"/>
          <w:u w:val="single"/>
        </w:rPr>
        <w:t>Copiers:</w:t>
      </w:r>
      <w:r>
        <w:rPr>
          <w:rFonts w:ascii="Arial" w:eastAsia="Arial" w:hAnsi="Arial" w:cs="Arial"/>
          <w:color w:val="231F20"/>
          <w:sz w:val="22"/>
          <w:szCs w:val="22"/>
        </w:rPr>
        <w:t xml:space="preserve"> </w:t>
      </w:r>
    </w:p>
    <w:p w14:paraId="46C3EFD0" w14:textId="77777777" w:rsidR="00C4460F" w:rsidRDefault="00000000">
      <w:pPr>
        <w:tabs>
          <w:tab w:val="left" w:pos="480"/>
          <w:tab w:val="right" w:pos="720"/>
        </w:tabs>
        <w:spacing w:line="276" w:lineRule="auto"/>
        <w:jc w:val="both"/>
        <w:rPr>
          <w:rFonts w:ascii="Arial" w:eastAsia="Arial" w:hAnsi="Arial" w:cs="Arial"/>
          <w:color w:val="231F20"/>
          <w:sz w:val="20"/>
          <w:szCs w:val="20"/>
        </w:rPr>
      </w:pPr>
      <w:r>
        <w:rPr>
          <w:rFonts w:ascii="Arial" w:eastAsia="Arial" w:hAnsi="Arial" w:cs="Arial"/>
          <w:color w:val="231F20"/>
          <w:sz w:val="20"/>
          <w:szCs w:val="20"/>
        </w:rPr>
        <w:t>The department copier can be found in the Mail Room across from the Main Film and Media Studies Office. Copier codes are issued only to employed graduate students for instructional or grant related copying (codes may be granted to the following titles: (Teaching Assistant/Associate, Reader, Graduate Research Assistant, Postgraduate Researcher, et al.). Personal copying is not allowed. All personal copying should be done elsewhere on campus, such as the UCEN copy center or in the library. If the copier isn’t operating properly, please inform the office staff so that we can assist in correcting the problem.</w:t>
      </w:r>
    </w:p>
    <w:p w14:paraId="65D3C85E" w14:textId="77777777" w:rsidR="00C4460F" w:rsidRDefault="00C4460F">
      <w:pPr>
        <w:tabs>
          <w:tab w:val="left" w:pos="480"/>
          <w:tab w:val="right" w:pos="720"/>
        </w:tabs>
        <w:spacing w:line="276" w:lineRule="auto"/>
        <w:jc w:val="both"/>
        <w:rPr>
          <w:rFonts w:ascii="Arial" w:eastAsia="Arial" w:hAnsi="Arial" w:cs="Arial"/>
          <w:sz w:val="20"/>
          <w:szCs w:val="20"/>
        </w:rPr>
      </w:pPr>
    </w:p>
    <w:p w14:paraId="08BAABC6" w14:textId="77777777" w:rsidR="00C4460F" w:rsidRDefault="00000000">
      <w:pPr>
        <w:tabs>
          <w:tab w:val="left" w:pos="479"/>
          <w:tab w:val="left" w:pos="480"/>
          <w:tab w:val="right" w:pos="720"/>
        </w:tabs>
        <w:spacing w:line="276" w:lineRule="auto"/>
        <w:jc w:val="both"/>
        <w:rPr>
          <w:rFonts w:ascii="Arial" w:eastAsia="Arial" w:hAnsi="Arial" w:cs="Arial"/>
          <w:color w:val="231F20"/>
          <w:sz w:val="22"/>
          <w:szCs w:val="22"/>
        </w:rPr>
      </w:pPr>
      <w:r>
        <w:rPr>
          <w:rFonts w:ascii="Arial" w:eastAsia="Arial" w:hAnsi="Arial" w:cs="Arial"/>
          <w:color w:val="231F20"/>
          <w:sz w:val="22"/>
          <w:szCs w:val="22"/>
          <w:u w:val="single"/>
        </w:rPr>
        <w:t>Office space:</w:t>
      </w:r>
      <w:r>
        <w:rPr>
          <w:rFonts w:ascii="Arial" w:eastAsia="Arial" w:hAnsi="Arial" w:cs="Arial"/>
          <w:color w:val="231F20"/>
          <w:sz w:val="22"/>
          <w:szCs w:val="22"/>
        </w:rPr>
        <w:t xml:space="preserve"> </w:t>
      </w:r>
    </w:p>
    <w:p w14:paraId="7C5C7470" w14:textId="77777777" w:rsidR="00C4460F" w:rsidRDefault="00000000">
      <w:pPr>
        <w:tabs>
          <w:tab w:val="left" w:pos="479"/>
          <w:tab w:val="left" w:pos="480"/>
          <w:tab w:val="right" w:pos="720"/>
        </w:tabs>
        <w:spacing w:line="276" w:lineRule="auto"/>
        <w:jc w:val="both"/>
        <w:rPr>
          <w:rFonts w:ascii="Arial" w:eastAsia="Arial" w:hAnsi="Arial" w:cs="Arial"/>
          <w:color w:val="231F20"/>
          <w:sz w:val="20"/>
          <w:szCs w:val="20"/>
        </w:rPr>
      </w:pPr>
      <w:r>
        <w:rPr>
          <w:rFonts w:ascii="Arial" w:eastAsia="Arial" w:hAnsi="Arial" w:cs="Arial"/>
          <w:color w:val="231F20"/>
          <w:sz w:val="20"/>
          <w:szCs w:val="20"/>
        </w:rPr>
        <w:t xml:space="preserve">While the department has no obligation to provide office space for graduate students who are not employed as Teaching Assistants, Associates or Graduate Student Researchers/Post-graduate Researchers, we do try to provide at least some space for all graduate students as space allows. Graduate student priority ranking for the assignment of office space also </w:t>
      </w:r>
      <w:proofErr w:type="gramStart"/>
      <w:r>
        <w:rPr>
          <w:rFonts w:ascii="Arial" w:eastAsia="Arial" w:hAnsi="Arial" w:cs="Arial"/>
          <w:color w:val="231F20"/>
          <w:sz w:val="20"/>
          <w:szCs w:val="20"/>
        </w:rPr>
        <w:t>takes into account</w:t>
      </w:r>
      <w:proofErr w:type="gramEnd"/>
      <w:r>
        <w:rPr>
          <w:rFonts w:ascii="Arial" w:eastAsia="Arial" w:hAnsi="Arial" w:cs="Arial"/>
          <w:color w:val="231F20"/>
          <w:sz w:val="20"/>
          <w:szCs w:val="20"/>
        </w:rPr>
        <w:t xml:space="preserve"> class level in this order: Ph.D. students advanced to candidacy, Ph.D. students, and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students. Campus and department policy dictates to a very large extent the priorities for the allocation of space to persons associated with departments. These priorities are:</w:t>
      </w:r>
    </w:p>
    <w:p w14:paraId="01EBDEA8" w14:textId="77777777" w:rsidR="00C4460F" w:rsidRDefault="00000000">
      <w:pPr>
        <w:widowControl w:val="0"/>
        <w:numPr>
          <w:ilvl w:val="0"/>
          <w:numId w:val="23"/>
        </w:numPr>
        <w:pBdr>
          <w:top w:val="nil"/>
          <w:left w:val="nil"/>
          <w:bottom w:val="nil"/>
          <w:right w:val="nil"/>
          <w:between w:val="nil"/>
        </w:pBdr>
        <w:tabs>
          <w:tab w:val="left" w:pos="479"/>
          <w:tab w:val="left" w:pos="480"/>
          <w:tab w:val="right" w:pos="720"/>
        </w:tabs>
        <w:spacing w:line="276" w:lineRule="auto"/>
        <w:jc w:val="both"/>
        <w:rPr>
          <w:rFonts w:ascii="Arial" w:eastAsia="Arial" w:hAnsi="Arial" w:cs="Arial"/>
          <w:color w:val="231F20"/>
          <w:sz w:val="18"/>
          <w:szCs w:val="18"/>
        </w:rPr>
      </w:pPr>
      <w:r>
        <w:rPr>
          <w:rFonts w:ascii="Arial" w:eastAsia="Arial" w:hAnsi="Arial" w:cs="Arial"/>
          <w:color w:val="231F20"/>
          <w:sz w:val="18"/>
          <w:szCs w:val="18"/>
        </w:rPr>
        <w:t>Faculty</w:t>
      </w:r>
    </w:p>
    <w:p w14:paraId="50C99125" w14:textId="77777777" w:rsidR="00C4460F" w:rsidRDefault="00000000">
      <w:pPr>
        <w:widowControl w:val="0"/>
        <w:numPr>
          <w:ilvl w:val="0"/>
          <w:numId w:val="23"/>
        </w:numPr>
        <w:pBdr>
          <w:top w:val="nil"/>
          <w:left w:val="nil"/>
          <w:bottom w:val="nil"/>
          <w:right w:val="nil"/>
          <w:between w:val="nil"/>
        </w:pBdr>
        <w:tabs>
          <w:tab w:val="left" w:pos="479"/>
          <w:tab w:val="left" w:pos="480"/>
          <w:tab w:val="right" w:pos="720"/>
        </w:tabs>
        <w:spacing w:line="276" w:lineRule="auto"/>
        <w:jc w:val="both"/>
        <w:rPr>
          <w:rFonts w:ascii="Arial" w:eastAsia="Arial" w:hAnsi="Arial" w:cs="Arial"/>
          <w:color w:val="231F20"/>
          <w:sz w:val="18"/>
          <w:szCs w:val="18"/>
        </w:rPr>
      </w:pPr>
      <w:r>
        <w:rPr>
          <w:rFonts w:ascii="Arial" w:eastAsia="Arial" w:hAnsi="Arial" w:cs="Arial"/>
          <w:color w:val="231F20"/>
          <w:sz w:val="18"/>
          <w:szCs w:val="18"/>
        </w:rPr>
        <w:t>Support staff</w:t>
      </w:r>
    </w:p>
    <w:p w14:paraId="5FD22889" w14:textId="77777777" w:rsidR="00C4460F" w:rsidRDefault="00000000">
      <w:pPr>
        <w:widowControl w:val="0"/>
        <w:numPr>
          <w:ilvl w:val="0"/>
          <w:numId w:val="23"/>
        </w:numPr>
        <w:pBdr>
          <w:top w:val="nil"/>
          <w:left w:val="nil"/>
          <w:bottom w:val="nil"/>
          <w:right w:val="nil"/>
          <w:between w:val="nil"/>
        </w:pBdr>
        <w:tabs>
          <w:tab w:val="left" w:pos="479"/>
          <w:tab w:val="left" w:pos="480"/>
          <w:tab w:val="right" w:pos="720"/>
        </w:tabs>
        <w:spacing w:line="276" w:lineRule="auto"/>
        <w:jc w:val="both"/>
        <w:rPr>
          <w:rFonts w:ascii="Arial" w:eastAsia="Arial" w:hAnsi="Arial" w:cs="Arial"/>
          <w:color w:val="231F20"/>
          <w:sz w:val="18"/>
          <w:szCs w:val="18"/>
        </w:rPr>
      </w:pPr>
      <w:r>
        <w:rPr>
          <w:rFonts w:ascii="Arial" w:eastAsia="Arial" w:hAnsi="Arial" w:cs="Arial"/>
          <w:color w:val="231F20"/>
          <w:sz w:val="18"/>
          <w:szCs w:val="18"/>
        </w:rPr>
        <w:t>Temporary faculty (Lecturers)</w:t>
      </w:r>
    </w:p>
    <w:p w14:paraId="1C69F66C" w14:textId="77777777" w:rsidR="00C4460F" w:rsidRDefault="00000000">
      <w:pPr>
        <w:widowControl w:val="0"/>
        <w:numPr>
          <w:ilvl w:val="0"/>
          <w:numId w:val="23"/>
        </w:numPr>
        <w:pBdr>
          <w:top w:val="nil"/>
          <w:left w:val="nil"/>
          <w:bottom w:val="nil"/>
          <w:right w:val="nil"/>
          <w:between w:val="nil"/>
        </w:pBdr>
        <w:tabs>
          <w:tab w:val="left" w:pos="479"/>
          <w:tab w:val="left" w:pos="480"/>
          <w:tab w:val="right" w:pos="720"/>
        </w:tabs>
        <w:spacing w:line="276" w:lineRule="auto"/>
        <w:jc w:val="both"/>
        <w:rPr>
          <w:rFonts w:ascii="Arial" w:eastAsia="Arial" w:hAnsi="Arial" w:cs="Arial"/>
          <w:color w:val="231F20"/>
          <w:sz w:val="18"/>
          <w:szCs w:val="18"/>
        </w:rPr>
      </w:pPr>
      <w:r>
        <w:rPr>
          <w:rFonts w:ascii="Arial" w:eastAsia="Arial" w:hAnsi="Arial" w:cs="Arial"/>
          <w:color w:val="231F20"/>
          <w:sz w:val="18"/>
          <w:szCs w:val="18"/>
        </w:rPr>
        <w:t xml:space="preserve">Associates, Teaching Assistants and UCSB fellowship holders (Regents Special Fellowship/ Doctoral Scholars </w:t>
      </w:r>
      <w:r>
        <w:rPr>
          <w:rFonts w:ascii="Arial" w:eastAsia="Arial" w:hAnsi="Arial" w:cs="Arial"/>
          <w:color w:val="231F20"/>
          <w:sz w:val="18"/>
          <w:szCs w:val="18"/>
        </w:rPr>
        <w:lastRenderedPageBreak/>
        <w:t>Fellowship/President’s Predoctoral Fellowship)</w:t>
      </w:r>
    </w:p>
    <w:p w14:paraId="281F613B" w14:textId="77777777" w:rsidR="00C4460F" w:rsidRDefault="00000000">
      <w:pPr>
        <w:widowControl w:val="0"/>
        <w:numPr>
          <w:ilvl w:val="0"/>
          <w:numId w:val="23"/>
        </w:numPr>
        <w:pBdr>
          <w:top w:val="nil"/>
          <w:left w:val="nil"/>
          <w:bottom w:val="nil"/>
          <w:right w:val="nil"/>
          <w:between w:val="nil"/>
        </w:pBdr>
        <w:tabs>
          <w:tab w:val="left" w:pos="479"/>
          <w:tab w:val="left" w:pos="480"/>
          <w:tab w:val="right" w:pos="720"/>
        </w:tabs>
        <w:spacing w:line="276" w:lineRule="auto"/>
        <w:jc w:val="both"/>
        <w:rPr>
          <w:rFonts w:ascii="Arial" w:eastAsia="Arial" w:hAnsi="Arial" w:cs="Arial"/>
          <w:color w:val="231F20"/>
          <w:sz w:val="18"/>
          <w:szCs w:val="18"/>
        </w:rPr>
      </w:pPr>
      <w:r>
        <w:rPr>
          <w:rFonts w:ascii="Arial" w:eastAsia="Arial" w:hAnsi="Arial" w:cs="Arial"/>
          <w:color w:val="231F20"/>
          <w:sz w:val="18"/>
          <w:szCs w:val="18"/>
        </w:rPr>
        <w:t>Graduate Student Researchers/Post-graduate Researchers</w:t>
      </w:r>
    </w:p>
    <w:p w14:paraId="56E1DFA9" w14:textId="77777777" w:rsidR="00C4460F" w:rsidRDefault="00C4460F">
      <w:pPr>
        <w:tabs>
          <w:tab w:val="left" w:pos="479"/>
          <w:tab w:val="left" w:pos="480"/>
          <w:tab w:val="right" w:pos="720"/>
        </w:tabs>
        <w:spacing w:line="276" w:lineRule="auto"/>
        <w:jc w:val="both"/>
        <w:rPr>
          <w:rFonts w:ascii="Arial" w:eastAsia="Arial" w:hAnsi="Arial" w:cs="Arial"/>
          <w:sz w:val="20"/>
          <w:szCs w:val="20"/>
        </w:rPr>
      </w:pPr>
    </w:p>
    <w:p w14:paraId="324E3E52"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To as large an extent as possible, GSRs &amp; PGRs should be housed in research units. To request an office space, see Savannah Parison, Office Manager and MSO.</w:t>
      </w:r>
    </w:p>
    <w:p w14:paraId="7EB9A727"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34E7B6E"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Keys:</w:t>
      </w:r>
    </w:p>
    <w:p w14:paraId="64E1F2F7"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All graduate students are eligible, upon request, for keys to their assigned office. Requests for any other keys require special permission. See Selinda to check out keys.</w:t>
      </w:r>
    </w:p>
    <w:p w14:paraId="4B32DCEC" w14:textId="77777777" w:rsidR="00C4460F"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All faculty and graduate student offices are considered private. Requests should not be made for keys to these offices unless there is an emergency.</w:t>
      </w:r>
    </w:p>
    <w:p w14:paraId="795238DA" w14:textId="77777777" w:rsidR="00C4460F" w:rsidRDefault="00C4460F">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25BEB58" w14:textId="77777777" w:rsidR="00C4460F" w:rsidRDefault="00000000">
      <w:pPr>
        <w:tabs>
          <w:tab w:val="left" w:pos="480"/>
          <w:tab w:val="right" w:pos="720"/>
        </w:tabs>
        <w:spacing w:line="276" w:lineRule="auto"/>
        <w:jc w:val="both"/>
        <w:rPr>
          <w:rFonts w:ascii="Arial" w:eastAsia="Arial" w:hAnsi="Arial" w:cs="Arial"/>
          <w:color w:val="231F20"/>
          <w:sz w:val="22"/>
          <w:szCs w:val="22"/>
          <w:u w:val="single"/>
        </w:rPr>
      </w:pPr>
      <w:r>
        <w:rPr>
          <w:rFonts w:ascii="Arial" w:eastAsia="Arial" w:hAnsi="Arial" w:cs="Arial"/>
          <w:color w:val="231F20"/>
          <w:sz w:val="22"/>
          <w:szCs w:val="22"/>
          <w:u w:val="single"/>
        </w:rPr>
        <w:t>Mail/Packages:</w:t>
      </w:r>
    </w:p>
    <w:p w14:paraId="7B607B3D" w14:textId="77777777" w:rsidR="00C4460F" w:rsidRDefault="00000000">
      <w:pPr>
        <w:tabs>
          <w:tab w:val="left" w:pos="480"/>
          <w:tab w:val="right" w:pos="720"/>
        </w:tabs>
        <w:spacing w:line="276" w:lineRule="auto"/>
        <w:jc w:val="both"/>
        <w:rPr>
          <w:rFonts w:ascii="Arial" w:eastAsia="Arial" w:hAnsi="Arial" w:cs="Arial"/>
          <w:color w:val="231F20"/>
          <w:sz w:val="20"/>
          <w:szCs w:val="20"/>
        </w:rPr>
      </w:pPr>
      <w:r>
        <w:rPr>
          <w:rFonts w:ascii="Arial" w:eastAsia="Arial" w:hAnsi="Arial" w:cs="Arial"/>
          <w:color w:val="231F20"/>
          <w:sz w:val="20"/>
          <w:szCs w:val="20"/>
        </w:rPr>
        <w:t xml:space="preserve">Mail is delivered to the office daily in the afternoon (approximately 1:45 PM) and is sorted into assigned mailboxes in the office. Incoming mail should be limited to official university business. Please do not use this address for personal mail, especially for magazines, etc., because it not only burdens the campus mail delivery service, but also the staff member who </w:t>
      </w:r>
      <w:proofErr w:type="gramStart"/>
      <w:r>
        <w:rPr>
          <w:rFonts w:ascii="Arial" w:eastAsia="Arial" w:hAnsi="Arial" w:cs="Arial"/>
          <w:color w:val="231F20"/>
          <w:sz w:val="20"/>
          <w:szCs w:val="20"/>
        </w:rPr>
        <w:t>has to</w:t>
      </w:r>
      <w:proofErr w:type="gramEnd"/>
      <w:r>
        <w:rPr>
          <w:rFonts w:ascii="Arial" w:eastAsia="Arial" w:hAnsi="Arial" w:cs="Arial"/>
          <w:color w:val="231F20"/>
          <w:sz w:val="20"/>
          <w:szCs w:val="20"/>
        </w:rPr>
        <w:t xml:space="preserve"> sort the mail daily.  University policy clearly states, “Outgoing personal mail should not be deposited with official University mail.” There are several U.S. postal deposit boxes located around campus – please use them instead. If you are leaving campus (temporarily or permanently), please keep in mind that the Post Office will not forward mail that is addressed to the University. Submitting a “Change of Address” postcard to the U.S. Post Office for a University address will not work. You need to take steps to change your mailing address well in advance because the department does not have the manpower or the financial resources to forward mail. </w:t>
      </w:r>
      <w:proofErr w:type="gramStart"/>
      <w:r>
        <w:rPr>
          <w:rFonts w:ascii="Arial" w:eastAsia="Arial" w:hAnsi="Arial" w:cs="Arial"/>
          <w:color w:val="231F20"/>
          <w:sz w:val="20"/>
          <w:szCs w:val="20"/>
        </w:rPr>
        <w:t>Making arrangements</w:t>
      </w:r>
      <w:proofErr w:type="gramEnd"/>
      <w:r>
        <w:rPr>
          <w:rFonts w:ascii="Arial" w:eastAsia="Arial" w:hAnsi="Arial" w:cs="Arial"/>
          <w:color w:val="231F20"/>
          <w:sz w:val="20"/>
          <w:szCs w:val="20"/>
        </w:rPr>
        <w:t xml:space="preserve"> for your mail after you leave is your responsibility, not the departments. Please direct any questions that you may have about mail to Dana Welch in the front office.</w:t>
      </w:r>
    </w:p>
    <w:p w14:paraId="3F64BF0F" w14:textId="77777777" w:rsidR="00C4460F" w:rsidRDefault="00C4460F">
      <w:pPr>
        <w:tabs>
          <w:tab w:val="left" w:pos="480"/>
          <w:tab w:val="right" w:pos="720"/>
        </w:tabs>
        <w:spacing w:line="276" w:lineRule="auto"/>
        <w:jc w:val="both"/>
        <w:rPr>
          <w:rFonts w:ascii="Arial" w:eastAsia="Arial" w:hAnsi="Arial" w:cs="Arial"/>
          <w:color w:val="231F20"/>
          <w:sz w:val="20"/>
          <w:szCs w:val="20"/>
        </w:rPr>
      </w:pPr>
    </w:p>
    <w:p w14:paraId="17026B82" w14:textId="77777777" w:rsidR="00C4460F" w:rsidRDefault="00C4460F">
      <w:pPr>
        <w:tabs>
          <w:tab w:val="left" w:pos="479"/>
          <w:tab w:val="left" w:pos="480"/>
          <w:tab w:val="right" w:pos="720"/>
        </w:tabs>
        <w:spacing w:line="276" w:lineRule="auto"/>
        <w:jc w:val="both"/>
        <w:rPr>
          <w:rFonts w:ascii="Arial" w:eastAsia="Arial" w:hAnsi="Arial" w:cs="Arial"/>
          <w:color w:val="231F20"/>
          <w:sz w:val="20"/>
          <w:szCs w:val="20"/>
        </w:rPr>
      </w:pPr>
    </w:p>
    <w:p w14:paraId="52E31186" w14:textId="77777777" w:rsidR="00C4460F" w:rsidRDefault="00C4460F">
      <w:pPr>
        <w:tabs>
          <w:tab w:val="left" w:pos="479"/>
          <w:tab w:val="left" w:pos="480"/>
          <w:tab w:val="right" w:pos="720"/>
        </w:tabs>
        <w:spacing w:line="276" w:lineRule="auto"/>
        <w:jc w:val="both"/>
        <w:rPr>
          <w:rFonts w:ascii="Arial" w:eastAsia="Arial" w:hAnsi="Arial" w:cs="Arial"/>
          <w:color w:val="231F20"/>
          <w:sz w:val="20"/>
          <w:szCs w:val="20"/>
        </w:rPr>
      </w:pPr>
    </w:p>
    <w:p w14:paraId="6C241D77" w14:textId="77777777" w:rsidR="00C4460F" w:rsidRDefault="00C4460F">
      <w:pPr>
        <w:tabs>
          <w:tab w:val="left" w:pos="480"/>
          <w:tab w:val="right" w:pos="720"/>
        </w:tabs>
        <w:spacing w:line="276" w:lineRule="auto"/>
        <w:jc w:val="both"/>
        <w:rPr>
          <w:rFonts w:ascii="Arial" w:eastAsia="Arial" w:hAnsi="Arial" w:cs="Arial"/>
          <w:sz w:val="20"/>
          <w:szCs w:val="20"/>
        </w:rPr>
      </w:pPr>
    </w:p>
    <w:p w14:paraId="408B4BA0" w14:textId="77777777" w:rsidR="00C4460F" w:rsidRDefault="00C4460F">
      <w:pPr>
        <w:tabs>
          <w:tab w:val="left" w:pos="480"/>
          <w:tab w:val="right" w:pos="720"/>
        </w:tabs>
        <w:spacing w:line="276" w:lineRule="auto"/>
        <w:jc w:val="both"/>
        <w:rPr>
          <w:rFonts w:ascii="Arial" w:eastAsia="Arial" w:hAnsi="Arial" w:cs="Arial"/>
          <w:sz w:val="20"/>
          <w:szCs w:val="20"/>
        </w:rPr>
      </w:pPr>
    </w:p>
    <w:p w14:paraId="3AE11A75" w14:textId="77777777" w:rsidR="00C4460F" w:rsidRDefault="00000000">
      <w:pPr>
        <w:tabs>
          <w:tab w:val="left" w:pos="480"/>
          <w:tab w:val="right" w:pos="720"/>
        </w:tabs>
        <w:spacing w:line="276" w:lineRule="auto"/>
        <w:jc w:val="both"/>
        <w:rPr>
          <w:rFonts w:ascii="Arial" w:eastAsia="Arial" w:hAnsi="Arial" w:cs="Arial"/>
          <w:color w:val="231F20"/>
          <w:sz w:val="22"/>
          <w:szCs w:val="22"/>
          <w:u w:val="single"/>
        </w:rPr>
      </w:pPr>
      <w:r>
        <w:rPr>
          <w:rFonts w:ascii="Arial" w:eastAsia="Arial" w:hAnsi="Arial" w:cs="Arial"/>
          <w:color w:val="231F20"/>
          <w:sz w:val="22"/>
          <w:szCs w:val="22"/>
          <w:u w:val="single"/>
        </w:rPr>
        <w:t>Lead TA website on Canvas:</w:t>
      </w:r>
    </w:p>
    <w:p w14:paraId="68C0D278" w14:textId="77777777" w:rsidR="00C4460F" w:rsidRDefault="00000000">
      <w:pPr>
        <w:tabs>
          <w:tab w:val="left" w:pos="480"/>
          <w:tab w:val="right" w:pos="720"/>
        </w:tabs>
        <w:spacing w:line="276" w:lineRule="auto"/>
        <w:jc w:val="both"/>
        <w:rPr>
          <w:rFonts w:ascii="Arial" w:eastAsia="Arial" w:hAnsi="Arial" w:cs="Arial"/>
          <w:color w:val="231F20"/>
          <w:sz w:val="20"/>
          <w:szCs w:val="20"/>
        </w:rPr>
      </w:pPr>
      <w:r>
        <w:rPr>
          <w:rFonts w:ascii="Arial" w:eastAsia="Arial" w:hAnsi="Arial" w:cs="Arial"/>
          <w:color w:val="231F20"/>
          <w:sz w:val="20"/>
          <w:szCs w:val="20"/>
        </w:rPr>
        <w:t>A range of teaching syllabi, grading information, among other materials has been developed to assist with your work in TA sections. In addition, the department maintains the Instructional Video Archive (IVA) to produce instructional digital media (slides, clips, and other classroom related graphics) that is organized for instructors in the department. An appointed graduate student has been entrusted with managing this lab. See your grad rep for more information.</w:t>
      </w:r>
    </w:p>
    <w:p w14:paraId="485728E0" w14:textId="77777777" w:rsidR="00C4460F" w:rsidRDefault="00C4460F">
      <w:pPr>
        <w:tabs>
          <w:tab w:val="left" w:pos="480"/>
          <w:tab w:val="right" w:pos="720"/>
        </w:tabs>
        <w:spacing w:line="276" w:lineRule="auto"/>
        <w:jc w:val="both"/>
        <w:rPr>
          <w:rFonts w:ascii="Arial" w:eastAsia="Arial" w:hAnsi="Arial" w:cs="Arial"/>
          <w:color w:val="231F20"/>
          <w:sz w:val="22"/>
          <w:szCs w:val="22"/>
        </w:rPr>
      </w:pPr>
    </w:p>
    <w:p w14:paraId="52C7E6B3" w14:textId="77777777" w:rsidR="00C4460F" w:rsidRDefault="00000000">
      <w:pPr>
        <w:tabs>
          <w:tab w:val="left" w:pos="479"/>
          <w:tab w:val="left" w:pos="480"/>
          <w:tab w:val="right" w:pos="720"/>
        </w:tabs>
        <w:spacing w:line="276" w:lineRule="auto"/>
        <w:jc w:val="both"/>
        <w:rPr>
          <w:rFonts w:ascii="Arial" w:eastAsia="Arial" w:hAnsi="Arial" w:cs="Arial"/>
          <w:color w:val="231F20"/>
          <w:sz w:val="22"/>
          <w:szCs w:val="22"/>
        </w:rPr>
      </w:pPr>
      <w:r>
        <w:rPr>
          <w:rFonts w:ascii="Arial" w:eastAsia="Arial" w:hAnsi="Arial" w:cs="Arial"/>
          <w:color w:val="231F20"/>
          <w:sz w:val="22"/>
          <w:szCs w:val="22"/>
          <w:u w:val="single"/>
        </w:rPr>
        <w:t>Film and Media Studies library:</w:t>
      </w:r>
      <w:r>
        <w:rPr>
          <w:rFonts w:ascii="Arial" w:eastAsia="Arial" w:hAnsi="Arial" w:cs="Arial"/>
          <w:color w:val="231F20"/>
          <w:sz w:val="22"/>
          <w:szCs w:val="22"/>
        </w:rPr>
        <w:t xml:space="preserve"> </w:t>
      </w:r>
    </w:p>
    <w:p w14:paraId="59EA4C40" w14:textId="77777777" w:rsidR="00C4460F" w:rsidRDefault="00000000">
      <w:pPr>
        <w:tabs>
          <w:tab w:val="left" w:pos="479"/>
          <w:tab w:val="left" w:pos="480"/>
          <w:tab w:val="right" w:pos="720"/>
        </w:tabs>
        <w:spacing w:line="276" w:lineRule="auto"/>
        <w:jc w:val="both"/>
        <w:rPr>
          <w:rFonts w:ascii="Arial" w:eastAsia="Arial" w:hAnsi="Arial" w:cs="Arial"/>
          <w:sz w:val="20"/>
          <w:szCs w:val="20"/>
        </w:rPr>
      </w:pPr>
      <w:r>
        <w:rPr>
          <w:rFonts w:ascii="Arial" w:eastAsia="Arial" w:hAnsi="Arial" w:cs="Arial"/>
          <w:color w:val="231F20"/>
          <w:sz w:val="20"/>
          <w:szCs w:val="20"/>
        </w:rPr>
        <w:t>Always log out the media that you remove from the library even if it is for five minutes or five days. That is, as soon as it leaves the office, we need to know.</w:t>
      </w:r>
    </w:p>
    <w:p w14:paraId="0C7C0A52" w14:textId="77777777" w:rsidR="00C4460F" w:rsidRDefault="00000000">
      <w:pPr>
        <w:pStyle w:val="Heading3"/>
        <w:tabs>
          <w:tab w:val="right" w:pos="720"/>
        </w:tabs>
        <w:spacing w:line="276" w:lineRule="auto"/>
        <w:ind w:left="0"/>
        <w:jc w:val="both"/>
        <w:rPr>
          <w:rFonts w:ascii="Arial" w:eastAsia="Arial" w:hAnsi="Arial" w:cs="Arial"/>
          <w:color w:val="231F20"/>
        </w:rPr>
      </w:pPr>
      <w:bookmarkStart w:id="66" w:name="_heading=h.q842269tjlob" w:colFirst="0" w:colLast="0"/>
      <w:bookmarkEnd w:id="66"/>
      <w:r>
        <w:rPr>
          <w:rFonts w:ascii="Arial" w:eastAsia="Arial" w:hAnsi="Arial" w:cs="Arial"/>
          <w:color w:val="231F20"/>
        </w:rPr>
        <w:t>Rules of Thumb:</w:t>
      </w:r>
    </w:p>
    <w:p w14:paraId="0DA4A1D1" w14:textId="77777777" w:rsidR="00C4460F" w:rsidRDefault="00000000">
      <w:pPr>
        <w:widowControl w:val="0"/>
        <w:numPr>
          <w:ilvl w:val="0"/>
          <w:numId w:val="24"/>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Write the number assigned to the tape or DVD in the ID#/Format Column on the Log Out Sheet. Please write CLEARLY when entering the film title (do not abbreviate), your name, the date and your phone number.</w:t>
      </w:r>
    </w:p>
    <w:p w14:paraId="7FE080F9" w14:textId="77777777" w:rsidR="00C4460F" w:rsidRDefault="00000000">
      <w:pPr>
        <w:widowControl w:val="0"/>
        <w:numPr>
          <w:ilvl w:val="0"/>
          <w:numId w:val="24"/>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Please return all titles to the office before taking a vacation or leave of absence at any time.</w:t>
      </w:r>
    </w:p>
    <w:p w14:paraId="62C0DD8C" w14:textId="77777777" w:rsidR="00C4460F" w:rsidRDefault="00000000">
      <w:pPr>
        <w:widowControl w:val="0"/>
        <w:numPr>
          <w:ilvl w:val="0"/>
          <w:numId w:val="24"/>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 xml:space="preserve">Please return all films if you’ve had it out for 3 months. If you think that you may need a film for a longer </w:t>
      </w:r>
      <w:proofErr w:type="gramStart"/>
      <w:r>
        <w:rPr>
          <w:rFonts w:ascii="Arial" w:eastAsia="Arial" w:hAnsi="Arial" w:cs="Arial"/>
          <w:color w:val="231F20"/>
          <w:sz w:val="20"/>
          <w:szCs w:val="20"/>
        </w:rPr>
        <w:t>period of time</w:t>
      </w:r>
      <w:proofErr w:type="gramEnd"/>
      <w:r>
        <w:rPr>
          <w:rFonts w:ascii="Arial" w:eastAsia="Arial" w:hAnsi="Arial" w:cs="Arial"/>
          <w:color w:val="231F20"/>
          <w:sz w:val="20"/>
          <w:szCs w:val="20"/>
        </w:rPr>
        <w:t xml:space="preserve"> - for research purposes, please purchase the film yourself.</w:t>
      </w:r>
    </w:p>
    <w:p w14:paraId="1C001EE6" w14:textId="77777777" w:rsidR="00C4460F" w:rsidRDefault="00000000">
      <w:pPr>
        <w:widowControl w:val="0"/>
        <w:numPr>
          <w:ilvl w:val="0"/>
          <w:numId w:val="24"/>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 xml:space="preserve">Please do not log out a film and then give it to someone else while logged out under your name. </w:t>
      </w:r>
      <w:r>
        <w:rPr>
          <w:rFonts w:ascii="Arial" w:eastAsia="Arial" w:hAnsi="Arial" w:cs="Arial"/>
          <w:color w:val="231F20"/>
          <w:sz w:val="20"/>
          <w:szCs w:val="20"/>
        </w:rPr>
        <w:lastRenderedPageBreak/>
        <w:t>Please have the person interested in checking it out, come in and log it out him/herself.</w:t>
      </w:r>
    </w:p>
    <w:p w14:paraId="4BAE2BA1" w14:textId="77777777" w:rsidR="00C4460F" w:rsidRDefault="00000000">
      <w:pPr>
        <w:widowControl w:val="0"/>
        <w:numPr>
          <w:ilvl w:val="0"/>
          <w:numId w:val="24"/>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Please be aware that others might need the same DVD that you have checked out. If someone requests a DVD for use with a class or has other urgent needs for the same title, please accommodate their request. The FAMST library is an active media collection that supports the teaching and research of all members in the department.</w:t>
      </w:r>
    </w:p>
    <w:p w14:paraId="73CCA3AA" w14:textId="77777777" w:rsidR="00C4460F" w:rsidRDefault="00C4460F">
      <w:pPr>
        <w:widowControl w:val="0"/>
        <w:pBdr>
          <w:top w:val="nil"/>
          <w:left w:val="nil"/>
          <w:bottom w:val="nil"/>
          <w:right w:val="nil"/>
          <w:between w:val="nil"/>
        </w:pBdr>
        <w:tabs>
          <w:tab w:val="left" w:pos="479"/>
          <w:tab w:val="left" w:pos="480"/>
          <w:tab w:val="right" w:pos="720"/>
        </w:tabs>
        <w:spacing w:line="276" w:lineRule="auto"/>
        <w:jc w:val="both"/>
        <w:rPr>
          <w:rFonts w:ascii="Arial" w:eastAsia="Arial" w:hAnsi="Arial" w:cs="Arial"/>
          <w:color w:val="000000"/>
          <w:sz w:val="20"/>
          <w:szCs w:val="20"/>
        </w:rPr>
      </w:pPr>
    </w:p>
    <w:p w14:paraId="0CAFAB58" w14:textId="77777777" w:rsidR="00C4460F" w:rsidRDefault="00C4460F">
      <w:pPr>
        <w:widowControl w:val="0"/>
        <w:pBdr>
          <w:top w:val="nil"/>
          <w:left w:val="nil"/>
          <w:bottom w:val="nil"/>
          <w:right w:val="nil"/>
          <w:between w:val="nil"/>
        </w:pBdr>
        <w:tabs>
          <w:tab w:val="left" w:pos="479"/>
          <w:tab w:val="left" w:pos="480"/>
          <w:tab w:val="right" w:pos="720"/>
        </w:tabs>
        <w:spacing w:line="276" w:lineRule="auto"/>
        <w:jc w:val="both"/>
        <w:rPr>
          <w:rFonts w:ascii="Arial" w:eastAsia="Arial" w:hAnsi="Arial" w:cs="Arial"/>
          <w:color w:val="000000"/>
          <w:sz w:val="20"/>
          <w:szCs w:val="20"/>
        </w:rPr>
      </w:pPr>
    </w:p>
    <w:p w14:paraId="4A4D08BD" w14:textId="77777777" w:rsidR="00C4460F" w:rsidRDefault="00000000">
      <w:pPr>
        <w:widowControl w:val="0"/>
        <w:pBdr>
          <w:top w:val="nil"/>
          <w:left w:val="nil"/>
          <w:bottom w:val="nil"/>
          <w:right w:val="nil"/>
          <w:between w:val="nil"/>
        </w:pBdr>
        <w:tabs>
          <w:tab w:val="left" w:pos="479"/>
          <w:tab w:val="left" w:pos="480"/>
          <w:tab w:val="right" w:pos="720"/>
        </w:tabs>
        <w:spacing w:line="276" w:lineRule="auto"/>
        <w:jc w:val="both"/>
        <w:rPr>
          <w:rFonts w:ascii="Arial" w:eastAsia="Arial" w:hAnsi="Arial" w:cs="Arial"/>
          <w:color w:val="000000"/>
          <w:sz w:val="16"/>
          <w:szCs w:val="16"/>
          <w:highlight w:val="yellow"/>
        </w:rPr>
      </w:pPr>
      <w:r>
        <w:rPr>
          <w:rFonts w:ascii="Arial" w:eastAsia="Arial" w:hAnsi="Arial" w:cs="Arial"/>
          <w:color w:val="231F20"/>
          <w:sz w:val="16"/>
          <w:szCs w:val="16"/>
          <w:u w:val="single"/>
        </w:rPr>
        <w:t xml:space="preserve">Disclaimer: </w:t>
      </w:r>
      <w:r>
        <w:rPr>
          <w:rFonts w:ascii="Arial" w:eastAsia="Arial" w:hAnsi="Arial" w:cs="Arial"/>
          <w:color w:val="231F20"/>
          <w:sz w:val="16"/>
          <w:szCs w:val="16"/>
        </w:rPr>
        <w:t xml:space="preserve">This Graduate Student Handbook is designed to serve as a general source of information. Although we strive to keep this document up to date, the official catalogue and Graduate Division information is to be regarded as the policy of record. The Film and Media Studies Department also reserves the right to make changes at any time without it being immediately updated in the Handbook. Revised: </w:t>
      </w:r>
      <w:proofErr w:type="gramStart"/>
      <w:r>
        <w:rPr>
          <w:rFonts w:ascii="Arial" w:eastAsia="Arial" w:hAnsi="Arial" w:cs="Arial"/>
          <w:color w:val="231F20"/>
          <w:sz w:val="16"/>
          <w:szCs w:val="16"/>
          <w:highlight w:val="yellow"/>
        </w:rPr>
        <w:t>December  2025</w:t>
      </w:r>
      <w:proofErr w:type="gramEnd"/>
      <w:r>
        <w:rPr>
          <w:rFonts w:ascii="Arial" w:eastAsia="Arial" w:hAnsi="Arial" w:cs="Arial"/>
          <w:color w:val="231F20"/>
          <w:sz w:val="16"/>
          <w:szCs w:val="16"/>
          <w:highlight w:val="yellow"/>
        </w:rPr>
        <w:t>.</w:t>
      </w:r>
    </w:p>
    <w:p w14:paraId="0855163A" w14:textId="77777777" w:rsidR="00C4460F" w:rsidRDefault="00C4460F">
      <w:pPr>
        <w:tabs>
          <w:tab w:val="left" w:pos="479"/>
          <w:tab w:val="left" w:pos="480"/>
          <w:tab w:val="right" w:pos="720"/>
        </w:tabs>
        <w:spacing w:line="276" w:lineRule="auto"/>
        <w:rPr>
          <w:rFonts w:ascii="Arial" w:eastAsia="Arial" w:hAnsi="Arial" w:cs="Arial"/>
          <w:sz w:val="16"/>
          <w:szCs w:val="16"/>
        </w:rPr>
      </w:pPr>
    </w:p>
    <w:sectPr w:rsidR="00C4460F">
      <w:footerReference w:type="default" r:id="rId38"/>
      <w:pgSz w:w="12240" w:h="15840"/>
      <w:pgMar w:top="1440" w:right="1440" w:bottom="1440" w:left="1440" w:header="0"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4ECA8" w14:textId="77777777" w:rsidR="008E2E56" w:rsidRDefault="008E2E56">
      <w:r>
        <w:separator/>
      </w:r>
    </w:p>
  </w:endnote>
  <w:endnote w:type="continuationSeparator" w:id="0">
    <w:p w14:paraId="6605EC8A" w14:textId="77777777" w:rsidR="008E2E56" w:rsidRDefault="008E2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w:panose1 w:val="02000503020000020003"/>
    <w:charset w:val="00"/>
    <w:family w:val="auto"/>
    <w:pitch w:val="variable"/>
    <w:sig w:usb0="800000AF" w:usb1="5000204A" w:usb2="00000000" w:usb3="00000000" w:csb0="0000009B" w:csb1="00000000"/>
    <w:embedRegular r:id="rId1" w:fontKey="{808E311A-6FBA-BB42-A591-CFE421D841B0}"/>
  </w:font>
  <w:font w:name="Courier New">
    <w:panose1 w:val="02070309020205020404"/>
    <w:charset w:val="00"/>
    <w:family w:val="modern"/>
    <w:pitch w:val="fixed"/>
    <w:sig w:usb0="E0002AFF" w:usb1="C0007843" w:usb2="00000009" w:usb3="00000000" w:csb0="000001FF" w:csb1="00000000"/>
    <w:embedRegular r:id="rId2" w:fontKey="{60CB6480-195C-3748-98B8-CC4EB5E2F483}"/>
  </w:font>
  <w:font w:name="Noto Sans Symbols">
    <w:charset w:val="00"/>
    <w:family w:val="auto"/>
    <w:pitch w:val="default"/>
    <w:embedRegular r:id="rId3" w:fontKey="{06EDCD41-6BBC-8A4E-B933-9EBA021832BD}"/>
  </w:font>
  <w:font w:name="Times New Roman">
    <w:panose1 w:val="02020603050405020304"/>
    <w:charset w:val="00"/>
    <w:family w:val="roman"/>
    <w:pitch w:val="variable"/>
    <w:sig w:usb0="E0002EFF" w:usb1="C000785B" w:usb2="00000009" w:usb3="00000000" w:csb0="000001FF" w:csb1="00000000"/>
    <w:embedRegular r:id="rId4" w:fontKey="{9A7F07E3-CA66-3142-846E-6AE9F11E9120}"/>
    <w:embedBold r:id="rId5" w:fontKey="{523E5AB9-3210-334C-9376-4149243D6BA4}"/>
  </w:font>
  <w:font w:name="Calibri">
    <w:panose1 w:val="020F0502020204030204"/>
    <w:charset w:val="00"/>
    <w:family w:val="swiss"/>
    <w:pitch w:val="variable"/>
    <w:sig w:usb0="E0002AFF" w:usb1="C000247B" w:usb2="00000009" w:usb3="00000000" w:csb0="000001FF" w:csb1="00000000"/>
    <w:embedRegular r:id="rId6" w:fontKey="{C937D390-26BE-9F4E-9187-06F1E7BA8036}"/>
  </w:font>
  <w:font w:name="Libre Baskerville">
    <w:panose1 w:val="02000000000000000000"/>
    <w:charset w:val="00"/>
    <w:family w:val="auto"/>
    <w:pitch w:val="variable"/>
    <w:sig w:usb0="A00000BF" w:usb1="5000005B" w:usb2="00000000" w:usb3="00000000" w:csb0="00000093" w:csb1="00000000"/>
    <w:embedRegular r:id="rId7" w:fontKey="{541549DA-978B-4748-A0C1-92125AF0D7F0}"/>
    <w:embedBold r:id="rId8" w:fontKey="{E0696E7F-F487-204B-B3DA-9815754D4036}"/>
  </w:font>
  <w:font w:name="Arial">
    <w:panose1 w:val="020B0604020202020204"/>
    <w:charset w:val="00"/>
    <w:family w:val="swiss"/>
    <w:pitch w:val="variable"/>
    <w:sig w:usb0="E0002AFF" w:usb1="C0007843" w:usb2="00000009" w:usb3="00000000" w:csb0="000001FF" w:csb1="00000000"/>
    <w:embedRegular r:id="rId9" w:fontKey="{15C7AE32-F5CA-E744-8CE0-4198E2834FE4}"/>
    <w:embedBold r:id="rId10" w:fontKey="{13E4778B-8D6F-0C40-8B9F-FC966F2C4639}"/>
    <w:embedItalic r:id="rId11" w:fontKey="{4CA48E64-76AD-654B-B3E8-F071E0298B4A}"/>
  </w:font>
  <w:font w:name="Helvetica Neue">
    <w:panose1 w:val="02000503000000020004"/>
    <w:charset w:val="00"/>
    <w:family w:val="auto"/>
    <w:pitch w:val="variable"/>
    <w:sig w:usb0="E50002FF" w:usb1="500079DB" w:usb2="00000010" w:usb3="00000000" w:csb0="00000001" w:csb1="00000000"/>
  </w:font>
  <w:font w:name="Cutive">
    <w:charset w:val="00"/>
    <w:family w:val="auto"/>
    <w:pitch w:val="default"/>
    <w:embedRegular r:id="rId13" w:fontKey="{657DAC1A-BDA8-5546-9DAF-F91A4B3BB385}"/>
  </w:font>
  <w:font w:name="Cambria">
    <w:panose1 w:val="02040503050406030204"/>
    <w:charset w:val="00"/>
    <w:family w:val="roman"/>
    <w:pitch w:val="variable"/>
    <w:sig w:usb0="E00002FF" w:usb1="400004FF" w:usb2="00000000" w:usb3="00000000" w:csb0="0000019F" w:csb1="00000000"/>
    <w:embedRegular r:id="rId14" w:fontKey="{43A907C7-D4DF-A045-9521-BEBC3C6C4BC5}"/>
  </w:font>
  <w:font w:name="Helvetica">
    <w:panose1 w:val="00000000000000000000"/>
    <w:charset w:val="00"/>
    <w:family w:val="auto"/>
    <w:pitch w:val="variable"/>
    <w:sig w:usb0="E00002FF" w:usb1="5000785B" w:usb2="00000000" w:usb3="00000000" w:csb0="0000019F" w:csb1="00000000"/>
  </w:font>
  <w:font w:name="Baskerville">
    <w:panose1 w:val="02020502070401020303"/>
    <w:charset w:val="00"/>
    <w:family w:val="roman"/>
    <w:pitch w:val="variable"/>
    <w:sig w:usb0="80000067" w:usb1="02000000" w:usb2="00000000" w:usb3="00000000" w:csb0="0000019F" w:csb1="00000000"/>
  </w:font>
  <w:font w:name="Avenir Light">
    <w:panose1 w:val="020B0402020203020204"/>
    <w:charset w:val="4D"/>
    <w:family w:val="swiss"/>
    <w:pitch w:val="variable"/>
    <w:sig w:usb0="800000AF" w:usb1="5000204A" w:usb2="00000000" w:usb3="00000000" w:csb0="0000009B" w:csb1="00000000"/>
    <w:embedRegular r:id="rId18" w:fontKey="{46E4832A-A27B-D846-BCDD-E112F720BBA4}"/>
  </w:font>
  <w:font w:name="Segoe UI">
    <w:panose1 w:val="020B0604020202020204"/>
    <w:charset w:val="00"/>
    <w:family w:val="roman"/>
    <w:notTrueType/>
    <w:pitch w:val="default"/>
    <w:embedRegular r:id="rId19" w:fontKey="{4CBA6947-C68B-FD45-B18A-BEC66FE7DC2D}"/>
  </w:font>
  <w:font w:name="Georgia">
    <w:panose1 w:val="02040502050405020303"/>
    <w:charset w:val="00"/>
    <w:family w:val="roman"/>
    <w:pitch w:val="variable"/>
    <w:sig w:usb0="00000287" w:usb1="00000000" w:usb2="00000000" w:usb3="00000000" w:csb0="0000009F" w:csb1="00000000"/>
    <w:embedItalic r:id="rId20" w:fontKey="{FB7390C6-C32B-7A4E-97C8-33E7FB8C9B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E7DE0" w14:textId="77777777" w:rsidR="00C4460F"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22FCC92" w14:textId="77777777" w:rsidR="00C4460F" w:rsidRDefault="00C4460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99636" w14:textId="77777777" w:rsidR="00C4460F" w:rsidRDefault="00000000">
    <w:pPr>
      <w:jc w:val="right"/>
    </w:pPr>
    <w:r>
      <w:fldChar w:fldCharType="begin"/>
    </w:r>
    <w:r>
      <w:instrText>PAGE</w:instrText>
    </w:r>
    <w:r>
      <w:fldChar w:fldCharType="separate"/>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9E1DD" w14:textId="77777777" w:rsidR="00C4460F" w:rsidRDefault="00C4460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C5444" w14:textId="77777777" w:rsidR="00C4460F" w:rsidRDefault="00C4460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8A7C8" w14:textId="47EDC20E" w:rsidR="00C4460F" w:rsidRDefault="00000000">
    <w:pPr>
      <w:jc w:val="right"/>
    </w:pPr>
    <w:r>
      <w:fldChar w:fldCharType="begin"/>
    </w:r>
    <w:r>
      <w:instrText>PAGE</w:instrText>
    </w:r>
    <w:r>
      <w:fldChar w:fldCharType="separate"/>
    </w:r>
    <w:r w:rsidR="00B25A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1BA8C" w14:textId="77777777" w:rsidR="008E2E56" w:rsidRDefault="008E2E56">
      <w:r>
        <w:separator/>
      </w:r>
    </w:p>
  </w:footnote>
  <w:footnote w:type="continuationSeparator" w:id="0">
    <w:p w14:paraId="70CDF821" w14:textId="77777777" w:rsidR="008E2E56" w:rsidRDefault="008E2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CE0F7" w14:textId="77777777" w:rsidR="00C4460F" w:rsidRDefault="00C446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913A2" w14:textId="77777777" w:rsidR="00C4460F" w:rsidRDefault="00C4460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F3A4" w14:textId="77777777" w:rsidR="00C4460F" w:rsidRDefault="00C4460F">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1B7A0" w14:textId="77777777" w:rsidR="00C4460F" w:rsidRDefault="00C4460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18D1"/>
    <w:multiLevelType w:val="multilevel"/>
    <w:tmpl w:val="6BCA8010"/>
    <w:lvl w:ilvl="0">
      <w:start w:val="1"/>
      <w:numFmt w:val="lowerLetter"/>
      <w:lvlText w:val="%1."/>
      <w:lvlJc w:val="left"/>
      <w:pPr>
        <w:ind w:left="608" w:hanging="288"/>
      </w:pPr>
    </w:lvl>
    <w:lvl w:ilvl="1">
      <w:start w:val="1"/>
      <w:numFmt w:val="lowerLetter"/>
      <w:lvlText w:val="%2."/>
      <w:lvlJc w:val="left"/>
      <w:pPr>
        <w:ind w:left="2010" w:hanging="360"/>
      </w:pPr>
    </w:lvl>
    <w:lvl w:ilvl="2">
      <w:start w:val="1"/>
      <w:numFmt w:val="lowerRoman"/>
      <w:lvlText w:val="%3."/>
      <w:lvlJc w:val="right"/>
      <w:pPr>
        <w:ind w:left="2730" w:hanging="180"/>
      </w:pPr>
    </w:lvl>
    <w:lvl w:ilvl="3">
      <w:start w:val="1"/>
      <w:numFmt w:val="decimal"/>
      <w:lvlText w:val="%4."/>
      <w:lvlJc w:val="left"/>
      <w:pPr>
        <w:ind w:left="3450" w:hanging="360"/>
      </w:pPr>
    </w:lvl>
    <w:lvl w:ilvl="4">
      <w:start w:val="1"/>
      <w:numFmt w:val="lowerLetter"/>
      <w:lvlText w:val="%5."/>
      <w:lvlJc w:val="left"/>
      <w:pPr>
        <w:ind w:left="4170" w:hanging="360"/>
      </w:pPr>
    </w:lvl>
    <w:lvl w:ilvl="5">
      <w:start w:val="1"/>
      <w:numFmt w:val="lowerRoman"/>
      <w:lvlText w:val="%6."/>
      <w:lvlJc w:val="right"/>
      <w:pPr>
        <w:ind w:left="4890" w:hanging="180"/>
      </w:pPr>
    </w:lvl>
    <w:lvl w:ilvl="6">
      <w:start w:val="1"/>
      <w:numFmt w:val="decimal"/>
      <w:lvlText w:val="%7."/>
      <w:lvlJc w:val="left"/>
      <w:pPr>
        <w:ind w:left="5610" w:hanging="360"/>
      </w:pPr>
    </w:lvl>
    <w:lvl w:ilvl="7">
      <w:start w:val="1"/>
      <w:numFmt w:val="lowerLetter"/>
      <w:lvlText w:val="%8."/>
      <w:lvlJc w:val="left"/>
      <w:pPr>
        <w:ind w:left="6330" w:hanging="360"/>
      </w:pPr>
    </w:lvl>
    <w:lvl w:ilvl="8">
      <w:start w:val="1"/>
      <w:numFmt w:val="lowerRoman"/>
      <w:lvlText w:val="%9."/>
      <w:lvlJc w:val="right"/>
      <w:pPr>
        <w:ind w:left="7050" w:hanging="180"/>
      </w:pPr>
    </w:lvl>
  </w:abstractNum>
  <w:abstractNum w:abstractNumId="1" w15:restartNumberingAfterBreak="0">
    <w:nsid w:val="036A2FA1"/>
    <w:multiLevelType w:val="multilevel"/>
    <w:tmpl w:val="F9D28D2E"/>
    <w:lvl w:ilvl="0">
      <w:start w:val="1"/>
      <w:numFmt w:val="decimal"/>
      <w:lvlText w:val="%1."/>
      <w:lvlJc w:val="left"/>
      <w:pPr>
        <w:ind w:left="576" w:hanging="360"/>
      </w:pPr>
      <w:rPr>
        <w:rFonts w:ascii="Avenir" w:eastAsia="Avenir" w:hAnsi="Avenir" w:cs="Avenir"/>
        <w:b w:val="0"/>
        <w:bCs w:val="0"/>
        <w:i w:val="0"/>
        <w:iCs w:val="0"/>
        <w:color w:val="231F20"/>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0E1648"/>
    <w:multiLevelType w:val="multilevel"/>
    <w:tmpl w:val="E1923C5A"/>
    <w:lvl w:ilvl="0">
      <w:start w:val="1"/>
      <w:numFmt w:val="lowerLetter"/>
      <w:lvlText w:val="%1."/>
      <w:lvlJc w:val="left"/>
      <w:pPr>
        <w:ind w:left="504" w:hanging="288"/>
      </w:pPr>
      <w:rPr>
        <w:color w:val="231F20"/>
        <w:sz w:val="18"/>
        <w:szCs w:val="1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A2B35F1"/>
    <w:multiLevelType w:val="multilevel"/>
    <w:tmpl w:val="57A839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7654082"/>
    <w:multiLevelType w:val="multilevel"/>
    <w:tmpl w:val="1CA2F28A"/>
    <w:lvl w:ilvl="0">
      <w:start w:val="1"/>
      <w:numFmt w:val="bullet"/>
      <w:lvlText w:val="●"/>
      <w:lvlJc w:val="left"/>
      <w:pPr>
        <w:ind w:left="504" w:hanging="288"/>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5" w15:restartNumberingAfterBreak="0">
    <w:nsid w:val="1EC23BA3"/>
    <w:multiLevelType w:val="multilevel"/>
    <w:tmpl w:val="4394E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212AFB"/>
    <w:multiLevelType w:val="multilevel"/>
    <w:tmpl w:val="3A042E46"/>
    <w:lvl w:ilvl="0">
      <w:start w:val="1"/>
      <w:numFmt w:val="decimal"/>
      <w:lvlText w:val="%1"/>
      <w:lvlJc w:val="left"/>
      <w:pPr>
        <w:ind w:left="648" w:hanging="288"/>
      </w:pPr>
      <w:rPr>
        <w:color w:val="231F2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710CBD"/>
    <w:multiLevelType w:val="multilevel"/>
    <w:tmpl w:val="E176E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70385B"/>
    <w:multiLevelType w:val="multilevel"/>
    <w:tmpl w:val="5D587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DD6A48"/>
    <w:multiLevelType w:val="multilevel"/>
    <w:tmpl w:val="55425B22"/>
    <w:lvl w:ilvl="0">
      <w:start w:val="1"/>
      <w:numFmt w:val="bullet"/>
      <w:lvlText w:val="●"/>
      <w:lvlJc w:val="left"/>
      <w:pPr>
        <w:ind w:left="648" w:hanging="288"/>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7D2110"/>
    <w:multiLevelType w:val="multilevel"/>
    <w:tmpl w:val="482C12C4"/>
    <w:lvl w:ilvl="0">
      <w:start w:val="1"/>
      <w:numFmt w:val="bullet"/>
      <w:lvlText w:val="●"/>
      <w:lvlJc w:val="left"/>
      <w:pPr>
        <w:ind w:left="504" w:hanging="288"/>
      </w:pPr>
      <w:rPr>
        <w:rFonts w:ascii="Noto Sans Symbols" w:eastAsia="Noto Sans Symbols" w:hAnsi="Noto Sans Symbols" w:cs="Noto Sans Symbols"/>
        <w:color w:val="231F2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650DCC"/>
    <w:multiLevelType w:val="multilevel"/>
    <w:tmpl w:val="EB28DB04"/>
    <w:lvl w:ilvl="0">
      <w:start w:val="1"/>
      <w:numFmt w:val="bullet"/>
      <w:lvlText w:val="●"/>
      <w:lvlJc w:val="left"/>
      <w:pPr>
        <w:ind w:left="1008" w:hanging="216"/>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4F554410"/>
    <w:multiLevelType w:val="multilevel"/>
    <w:tmpl w:val="9F1EEB64"/>
    <w:lvl w:ilvl="0">
      <w:start w:val="1"/>
      <w:numFmt w:val="decimal"/>
      <w:lvlText w:val="%1."/>
      <w:lvlJc w:val="left"/>
      <w:pPr>
        <w:ind w:left="792" w:hanging="287"/>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3" w15:restartNumberingAfterBreak="0">
    <w:nsid w:val="595F605B"/>
    <w:multiLevelType w:val="multilevel"/>
    <w:tmpl w:val="8272F3AE"/>
    <w:lvl w:ilvl="0">
      <w:start w:val="1"/>
      <w:numFmt w:val="lowerLetter"/>
      <w:lvlText w:val="%1."/>
      <w:lvlJc w:val="left"/>
      <w:pPr>
        <w:ind w:left="5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9C35E4B"/>
    <w:multiLevelType w:val="multilevel"/>
    <w:tmpl w:val="4E9C1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DC06D0"/>
    <w:multiLevelType w:val="multilevel"/>
    <w:tmpl w:val="218A2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94141C0"/>
    <w:multiLevelType w:val="multilevel"/>
    <w:tmpl w:val="29B6B5C4"/>
    <w:lvl w:ilvl="0">
      <w:start w:val="1"/>
      <w:numFmt w:val="lowerLetter"/>
      <w:lvlText w:val="%1."/>
      <w:lvlJc w:val="left"/>
      <w:pPr>
        <w:ind w:left="576" w:hanging="360"/>
      </w:pPr>
      <w:rPr>
        <w:color w:val="231F20"/>
        <w:sz w:val="18"/>
        <w:szCs w:val="18"/>
      </w:rPr>
    </w:lvl>
    <w:lvl w:ilvl="1">
      <w:numFmt w:val="bullet"/>
      <w:lvlText w:val="•"/>
      <w:lvlJc w:val="left"/>
      <w:pPr>
        <w:ind w:left="1896" w:hanging="113"/>
      </w:pPr>
    </w:lvl>
    <w:lvl w:ilvl="2">
      <w:numFmt w:val="bullet"/>
      <w:lvlText w:val="•"/>
      <w:lvlJc w:val="left"/>
      <w:pPr>
        <w:ind w:left="2832" w:hanging="113"/>
      </w:pPr>
    </w:lvl>
    <w:lvl w:ilvl="3">
      <w:numFmt w:val="bullet"/>
      <w:lvlText w:val="•"/>
      <w:lvlJc w:val="left"/>
      <w:pPr>
        <w:ind w:left="3768" w:hanging="113"/>
      </w:pPr>
    </w:lvl>
    <w:lvl w:ilvl="4">
      <w:numFmt w:val="bullet"/>
      <w:lvlText w:val="•"/>
      <w:lvlJc w:val="left"/>
      <w:pPr>
        <w:ind w:left="4704" w:hanging="113"/>
      </w:pPr>
    </w:lvl>
    <w:lvl w:ilvl="5">
      <w:numFmt w:val="bullet"/>
      <w:lvlText w:val="•"/>
      <w:lvlJc w:val="left"/>
      <w:pPr>
        <w:ind w:left="5640" w:hanging="113"/>
      </w:pPr>
    </w:lvl>
    <w:lvl w:ilvl="6">
      <w:numFmt w:val="bullet"/>
      <w:lvlText w:val="•"/>
      <w:lvlJc w:val="left"/>
      <w:pPr>
        <w:ind w:left="6576" w:hanging="112"/>
      </w:pPr>
    </w:lvl>
    <w:lvl w:ilvl="7">
      <w:numFmt w:val="bullet"/>
      <w:lvlText w:val="•"/>
      <w:lvlJc w:val="left"/>
      <w:pPr>
        <w:ind w:left="7512" w:hanging="112"/>
      </w:pPr>
    </w:lvl>
    <w:lvl w:ilvl="8">
      <w:numFmt w:val="bullet"/>
      <w:lvlText w:val="•"/>
      <w:lvlJc w:val="left"/>
      <w:pPr>
        <w:ind w:left="8448" w:hanging="113"/>
      </w:pPr>
    </w:lvl>
  </w:abstractNum>
  <w:abstractNum w:abstractNumId="17" w15:restartNumberingAfterBreak="0">
    <w:nsid w:val="694D0707"/>
    <w:multiLevelType w:val="multilevel"/>
    <w:tmpl w:val="772659C0"/>
    <w:lvl w:ilvl="0">
      <w:start w:val="1"/>
      <w:numFmt w:val="decimal"/>
      <w:lvlText w:val="%1)"/>
      <w:lvlJc w:val="left"/>
      <w:pPr>
        <w:ind w:left="504" w:hanging="288"/>
      </w:pPr>
      <w:rPr>
        <w:rFonts w:ascii="Calibri" w:eastAsia="Calibri" w:hAnsi="Calibri" w:cs="Calibri"/>
        <w:color w:val="231F2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B5E4F45"/>
    <w:multiLevelType w:val="multilevel"/>
    <w:tmpl w:val="7A5200C4"/>
    <w:lvl w:ilvl="0">
      <w:numFmt w:val="bullet"/>
      <w:lvlText w:val="—"/>
      <w:lvlJc w:val="left"/>
      <w:pPr>
        <w:ind w:left="120" w:hanging="250"/>
      </w:pPr>
      <w:rPr>
        <w:rFonts w:ascii="Libre Baskerville" w:eastAsia="Libre Baskerville" w:hAnsi="Libre Baskerville" w:cs="Libre Baskerville"/>
        <w:color w:val="231F20"/>
        <w:sz w:val="20"/>
        <w:szCs w:val="20"/>
      </w:rPr>
    </w:lvl>
    <w:lvl w:ilvl="1">
      <w:start w:val="1"/>
      <w:numFmt w:val="decimal"/>
      <w:lvlText w:val="%2)"/>
      <w:lvlJc w:val="left"/>
      <w:pPr>
        <w:ind w:left="576" w:hanging="360"/>
      </w:pPr>
      <w:rPr>
        <w:rFonts w:ascii="Avenir" w:eastAsia="Avenir" w:hAnsi="Avenir" w:cs="Avenir"/>
      </w:rPr>
    </w:lvl>
    <w:lvl w:ilvl="2">
      <w:numFmt w:val="bullet"/>
      <w:lvlText w:val="•"/>
      <w:lvlJc w:val="left"/>
      <w:pPr>
        <w:ind w:left="2142" w:hanging="288"/>
      </w:pPr>
    </w:lvl>
    <w:lvl w:ilvl="3">
      <w:numFmt w:val="bullet"/>
      <w:lvlText w:val="•"/>
      <w:lvlJc w:val="left"/>
      <w:pPr>
        <w:ind w:left="3164" w:hanging="288"/>
      </w:pPr>
    </w:lvl>
    <w:lvl w:ilvl="4">
      <w:numFmt w:val="bullet"/>
      <w:lvlText w:val="•"/>
      <w:lvlJc w:val="left"/>
      <w:pPr>
        <w:ind w:left="4186" w:hanging="288"/>
      </w:pPr>
    </w:lvl>
    <w:lvl w:ilvl="5">
      <w:numFmt w:val="bullet"/>
      <w:lvlText w:val="•"/>
      <w:lvlJc w:val="left"/>
      <w:pPr>
        <w:ind w:left="5208" w:hanging="288"/>
      </w:pPr>
    </w:lvl>
    <w:lvl w:ilvl="6">
      <w:numFmt w:val="bullet"/>
      <w:lvlText w:val="•"/>
      <w:lvlJc w:val="left"/>
      <w:pPr>
        <w:ind w:left="6231" w:hanging="287"/>
      </w:pPr>
    </w:lvl>
    <w:lvl w:ilvl="7">
      <w:numFmt w:val="bullet"/>
      <w:lvlText w:val="•"/>
      <w:lvlJc w:val="left"/>
      <w:pPr>
        <w:ind w:left="7253" w:hanging="288"/>
      </w:pPr>
    </w:lvl>
    <w:lvl w:ilvl="8">
      <w:numFmt w:val="bullet"/>
      <w:lvlText w:val="•"/>
      <w:lvlJc w:val="left"/>
      <w:pPr>
        <w:ind w:left="8275" w:hanging="288"/>
      </w:pPr>
    </w:lvl>
  </w:abstractNum>
  <w:abstractNum w:abstractNumId="19" w15:restartNumberingAfterBreak="0">
    <w:nsid w:val="6BC833C8"/>
    <w:multiLevelType w:val="multilevel"/>
    <w:tmpl w:val="8032A378"/>
    <w:lvl w:ilvl="0">
      <w:start w:val="1"/>
      <w:numFmt w:val="decimal"/>
      <w:lvlText w:val="%1."/>
      <w:lvlJc w:val="left"/>
      <w:pPr>
        <w:ind w:left="576" w:hanging="360"/>
      </w:pPr>
      <w:rPr>
        <w:b w:val="0"/>
        <w:bCs w:val="0"/>
        <w:i w:val="0"/>
        <w:iCs w:val="0"/>
        <w:color w:val="231F20"/>
        <w:sz w:val="20"/>
        <w:szCs w:val="20"/>
      </w:rPr>
    </w:lvl>
    <w:lvl w:ilvl="1">
      <w:numFmt w:val="bullet"/>
      <w:lvlText w:val="•"/>
      <w:lvlJc w:val="left"/>
      <w:pPr>
        <w:ind w:left="1716" w:hanging="268"/>
      </w:pPr>
    </w:lvl>
    <w:lvl w:ilvl="2">
      <w:numFmt w:val="bullet"/>
      <w:lvlText w:val="•"/>
      <w:lvlJc w:val="left"/>
      <w:pPr>
        <w:ind w:left="2672" w:hanging="268"/>
      </w:pPr>
    </w:lvl>
    <w:lvl w:ilvl="3">
      <w:numFmt w:val="bullet"/>
      <w:lvlText w:val="•"/>
      <w:lvlJc w:val="left"/>
      <w:pPr>
        <w:ind w:left="3628" w:hanging="268"/>
      </w:pPr>
    </w:lvl>
    <w:lvl w:ilvl="4">
      <w:numFmt w:val="bullet"/>
      <w:lvlText w:val="•"/>
      <w:lvlJc w:val="left"/>
      <w:pPr>
        <w:ind w:left="4584" w:hanging="268"/>
      </w:pPr>
    </w:lvl>
    <w:lvl w:ilvl="5">
      <w:numFmt w:val="bullet"/>
      <w:lvlText w:val="•"/>
      <w:lvlJc w:val="left"/>
      <w:pPr>
        <w:ind w:left="5540" w:hanging="268"/>
      </w:pPr>
    </w:lvl>
    <w:lvl w:ilvl="6">
      <w:numFmt w:val="bullet"/>
      <w:lvlText w:val="•"/>
      <w:lvlJc w:val="left"/>
      <w:pPr>
        <w:ind w:left="6496" w:hanging="267"/>
      </w:pPr>
    </w:lvl>
    <w:lvl w:ilvl="7">
      <w:numFmt w:val="bullet"/>
      <w:lvlText w:val="•"/>
      <w:lvlJc w:val="left"/>
      <w:pPr>
        <w:ind w:left="7452" w:hanging="267"/>
      </w:pPr>
    </w:lvl>
    <w:lvl w:ilvl="8">
      <w:numFmt w:val="bullet"/>
      <w:lvlText w:val="•"/>
      <w:lvlJc w:val="left"/>
      <w:pPr>
        <w:ind w:left="8408" w:hanging="268"/>
      </w:pPr>
    </w:lvl>
  </w:abstractNum>
  <w:abstractNum w:abstractNumId="20" w15:restartNumberingAfterBreak="0">
    <w:nsid w:val="755B741E"/>
    <w:multiLevelType w:val="multilevel"/>
    <w:tmpl w:val="C1987D30"/>
    <w:lvl w:ilvl="0">
      <w:start w:val="1"/>
      <w:numFmt w:val="bullet"/>
      <w:lvlText w:val="●"/>
      <w:lvlJc w:val="left"/>
      <w:pPr>
        <w:ind w:left="504" w:hanging="288"/>
      </w:pPr>
      <w:rPr>
        <w:rFonts w:ascii="Noto Sans Symbols" w:eastAsia="Noto Sans Symbols" w:hAnsi="Noto Sans Symbols" w:cs="Noto Sans Symbols"/>
        <w:color w:val="231F2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5AE6CA7"/>
    <w:multiLevelType w:val="multilevel"/>
    <w:tmpl w:val="12BC31FA"/>
    <w:lvl w:ilvl="0">
      <w:start w:val="1"/>
      <w:numFmt w:val="bullet"/>
      <w:lvlText w:val="●"/>
      <w:lvlJc w:val="left"/>
      <w:pPr>
        <w:ind w:left="720" w:hanging="360"/>
      </w:pPr>
      <w:rPr>
        <w:rFonts w:ascii="Arial" w:eastAsia="Arial" w:hAnsi="Arial" w:cs="Arial"/>
        <w:color w:val="3D495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8E66A23"/>
    <w:multiLevelType w:val="multilevel"/>
    <w:tmpl w:val="1D1E46CE"/>
    <w:lvl w:ilvl="0">
      <w:start w:val="1"/>
      <w:numFmt w:val="decimal"/>
      <w:lvlText w:val="%1)"/>
      <w:lvlJc w:val="left"/>
      <w:pPr>
        <w:ind w:left="504" w:hanging="288"/>
      </w:pPr>
      <w:rPr>
        <w:rFonts w:ascii="Avenir" w:eastAsia="Avenir" w:hAnsi="Avenir" w:cs="Avenir"/>
        <w:color w:val="231F2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C4C557C"/>
    <w:multiLevelType w:val="multilevel"/>
    <w:tmpl w:val="7708EC4C"/>
    <w:lvl w:ilvl="0">
      <w:start w:val="1"/>
      <w:numFmt w:val="bullet"/>
      <w:lvlText w:val="●"/>
      <w:lvlJc w:val="left"/>
      <w:pPr>
        <w:ind w:left="504" w:hanging="288"/>
      </w:pPr>
      <w:rPr>
        <w:rFonts w:ascii="Noto Sans Symbols" w:eastAsia="Noto Sans Symbols" w:hAnsi="Noto Sans Symbols" w:cs="Noto Sans Symbols"/>
        <w:color w:val="231F20"/>
        <w:sz w:val="20"/>
        <w:szCs w:val="20"/>
      </w:rPr>
    </w:lvl>
    <w:lvl w:ilvl="1">
      <w:start w:val="1"/>
      <w:numFmt w:val="decimal"/>
      <w:lvlText w:val="%2)"/>
      <w:lvlJc w:val="left"/>
      <w:pPr>
        <w:ind w:left="1128" w:hanging="288"/>
      </w:pPr>
      <w:rPr>
        <w:rFonts w:ascii="Libre Baskerville" w:eastAsia="Libre Baskerville" w:hAnsi="Libre Baskerville" w:cs="Libre Baskerville"/>
        <w:color w:val="231F20"/>
        <w:sz w:val="20"/>
        <w:szCs w:val="20"/>
      </w:rPr>
    </w:lvl>
    <w:lvl w:ilvl="2">
      <w:numFmt w:val="bullet"/>
      <w:lvlText w:val="•"/>
      <w:lvlJc w:val="left"/>
      <w:pPr>
        <w:ind w:left="2142" w:hanging="288"/>
      </w:pPr>
    </w:lvl>
    <w:lvl w:ilvl="3">
      <w:numFmt w:val="bullet"/>
      <w:lvlText w:val="•"/>
      <w:lvlJc w:val="left"/>
      <w:pPr>
        <w:ind w:left="3164" w:hanging="288"/>
      </w:pPr>
    </w:lvl>
    <w:lvl w:ilvl="4">
      <w:numFmt w:val="bullet"/>
      <w:lvlText w:val="•"/>
      <w:lvlJc w:val="left"/>
      <w:pPr>
        <w:ind w:left="4186" w:hanging="288"/>
      </w:pPr>
    </w:lvl>
    <w:lvl w:ilvl="5">
      <w:numFmt w:val="bullet"/>
      <w:lvlText w:val="•"/>
      <w:lvlJc w:val="left"/>
      <w:pPr>
        <w:ind w:left="5208" w:hanging="288"/>
      </w:pPr>
    </w:lvl>
    <w:lvl w:ilvl="6">
      <w:numFmt w:val="bullet"/>
      <w:lvlText w:val="•"/>
      <w:lvlJc w:val="left"/>
      <w:pPr>
        <w:ind w:left="6231" w:hanging="287"/>
      </w:pPr>
    </w:lvl>
    <w:lvl w:ilvl="7">
      <w:numFmt w:val="bullet"/>
      <w:lvlText w:val="•"/>
      <w:lvlJc w:val="left"/>
      <w:pPr>
        <w:ind w:left="7253" w:hanging="288"/>
      </w:pPr>
    </w:lvl>
    <w:lvl w:ilvl="8">
      <w:numFmt w:val="bullet"/>
      <w:lvlText w:val="•"/>
      <w:lvlJc w:val="left"/>
      <w:pPr>
        <w:ind w:left="8275" w:hanging="288"/>
      </w:pPr>
    </w:lvl>
  </w:abstractNum>
  <w:abstractNum w:abstractNumId="24" w15:restartNumberingAfterBreak="0">
    <w:nsid w:val="7CB74E0A"/>
    <w:multiLevelType w:val="multilevel"/>
    <w:tmpl w:val="4AC4BD08"/>
    <w:lvl w:ilvl="0">
      <w:start w:val="1"/>
      <w:numFmt w:val="lowerLetter"/>
      <w:lvlText w:val="%1."/>
      <w:lvlJc w:val="left"/>
      <w:pPr>
        <w:ind w:left="504" w:hanging="288"/>
      </w:pPr>
      <w:rPr>
        <w:color w:val="231F2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E071CC9"/>
    <w:multiLevelType w:val="multilevel"/>
    <w:tmpl w:val="F22C0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9704240">
    <w:abstractNumId w:val="5"/>
  </w:num>
  <w:num w:numId="2" w16cid:durableId="423035153">
    <w:abstractNumId w:val="14"/>
  </w:num>
  <w:num w:numId="3" w16cid:durableId="1647129174">
    <w:abstractNumId w:val="8"/>
  </w:num>
  <w:num w:numId="4" w16cid:durableId="193730665">
    <w:abstractNumId w:val="15"/>
  </w:num>
  <w:num w:numId="5" w16cid:durableId="1965304898">
    <w:abstractNumId w:val="3"/>
  </w:num>
  <w:num w:numId="6" w16cid:durableId="670107789">
    <w:abstractNumId w:val="21"/>
  </w:num>
  <w:num w:numId="7" w16cid:durableId="165635209">
    <w:abstractNumId w:val="12"/>
  </w:num>
  <w:num w:numId="8" w16cid:durableId="444354146">
    <w:abstractNumId w:val="9"/>
  </w:num>
  <w:num w:numId="9" w16cid:durableId="1531262653">
    <w:abstractNumId w:val="1"/>
  </w:num>
  <w:num w:numId="10" w16cid:durableId="1927691553">
    <w:abstractNumId w:val="16"/>
  </w:num>
  <w:num w:numId="11" w16cid:durableId="1240599455">
    <w:abstractNumId w:val="19"/>
  </w:num>
  <w:num w:numId="12" w16cid:durableId="1005401919">
    <w:abstractNumId w:val="6"/>
  </w:num>
  <w:num w:numId="13" w16cid:durableId="1376471318">
    <w:abstractNumId w:val="13"/>
  </w:num>
  <w:num w:numId="14" w16cid:durableId="1310330936">
    <w:abstractNumId w:val="0"/>
  </w:num>
  <w:num w:numId="15" w16cid:durableId="1707178073">
    <w:abstractNumId w:val="17"/>
  </w:num>
  <w:num w:numId="16" w16cid:durableId="1114640649">
    <w:abstractNumId w:val="11"/>
  </w:num>
  <w:num w:numId="17" w16cid:durableId="1826504703">
    <w:abstractNumId w:val="10"/>
  </w:num>
  <w:num w:numId="18" w16cid:durableId="244387378">
    <w:abstractNumId w:val="18"/>
  </w:num>
  <w:num w:numId="19" w16cid:durableId="817068642">
    <w:abstractNumId w:val="23"/>
  </w:num>
  <w:num w:numId="20" w16cid:durableId="1736925428">
    <w:abstractNumId w:val="20"/>
  </w:num>
  <w:num w:numId="21" w16cid:durableId="1869486321">
    <w:abstractNumId w:val="4"/>
  </w:num>
  <w:num w:numId="22" w16cid:durableId="1911385792">
    <w:abstractNumId w:val="2"/>
  </w:num>
  <w:num w:numId="23" w16cid:durableId="1247113817">
    <w:abstractNumId w:val="22"/>
  </w:num>
  <w:num w:numId="24" w16cid:durableId="310329440">
    <w:abstractNumId w:val="24"/>
  </w:num>
  <w:num w:numId="25" w16cid:durableId="902569928">
    <w:abstractNumId w:val="7"/>
  </w:num>
  <w:num w:numId="26" w16cid:durableId="96982451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60F"/>
    <w:rsid w:val="001E58F1"/>
    <w:rsid w:val="008E2E56"/>
    <w:rsid w:val="00B25A85"/>
    <w:rsid w:val="00C44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53EF9"/>
  <w15:docId w15:val="{0070292D-DE58-F643-A3D4-26C585830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ind w:left="120"/>
      <w:outlineLvl w:val="0"/>
    </w:pPr>
    <w:rPr>
      <w:rFonts w:ascii="Helvetica Neue" w:eastAsia="Helvetica Neue" w:hAnsi="Helvetica Neue" w:cs="Helvetica Neue"/>
      <w:b/>
      <w:bCs/>
      <w:sz w:val="26"/>
      <w:szCs w:val="26"/>
    </w:rPr>
  </w:style>
  <w:style w:type="paragraph" w:styleId="Heading2">
    <w:name w:val="heading 2"/>
    <w:basedOn w:val="Normal"/>
    <w:next w:val="Normal"/>
    <w:uiPriority w:val="9"/>
    <w:unhideWhenUsed/>
    <w:qFormat/>
    <w:pPr>
      <w:widowControl w:val="0"/>
      <w:tabs>
        <w:tab w:val="right" w:pos="720"/>
      </w:tabs>
      <w:outlineLvl w:val="1"/>
    </w:pPr>
    <w:rPr>
      <w:rFonts w:ascii="Cutive" w:eastAsia="Cutive" w:hAnsi="Cutive" w:cs="Cutive"/>
      <w:color w:val="231F20"/>
      <w:sz w:val="22"/>
      <w:szCs w:val="22"/>
      <w:u w:val="single"/>
    </w:rPr>
  </w:style>
  <w:style w:type="paragraph" w:styleId="Heading3">
    <w:name w:val="heading 3"/>
    <w:basedOn w:val="Normal"/>
    <w:next w:val="Normal"/>
    <w:uiPriority w:val="9"/>
    <w:unhideWhenUsed/>
    <w:qFormat/>
    <w:pPr>
      <w:widowControl w:val="0"/>
      <w:spacing w:line="257" w:lineRule="auto"/>
      <w:ind w:left="120"/>
      <w:outlineLvl w:val="2"/>
    </w:pPr>
    <w:rPr>
      <w:rFonts w:ascii="Libre Baskerville" w:eastAsia="Libre Baskerville" w:hAnsi="Libre Baskerville" w:cs="Libre Baskerville"/>
      <w:b/>
      <w:b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rFonts w:ascii="Cambria" w:eastAsia="Cambria" w:hAnsi="Cambria" w:cs="Cambria"/>
      <w:sz w:val="56"/>
      <w:szCs w:val="56"/>
    </w:rPr>
  </w:style>
  <w:style w:type="paragraph" w:styleId="TOC1">
    <w:name w:val="toc 1"/>
    <w:basedOn w:val="Normal"/>
    <w:uiPriority w:val="39"/>
    <w:qFormat/>
    <w:pPr>
      <w:widowControl w:val="0"/>
      <w:autoSpaceDE w:val="0"/>
      <w:autoSpaceDN w:val="0"/>
      <w:spacing w:before="181"/>
      <w:ind w:left="120"/>
    </w:pPr>
    <w:rPr>
      <w:rFonts w:ascii="Helvetica" w:eastAsia="Helvetica" w:hAnsi="Helvetica" w:cs="Helvetica"/>
      <w:b/>
      <w:bCs/>
      <w:sz w:val="26"/>
      <w:szCs w:val="26"/>
      <w:lang w:bidi="en-US"/>
    </w:rPr>
  </w:style>
  <w:style w:type="paragraph" w:styleId="TOC2">
    <w:name w:val="toc 2"/>
    <w:basedOn w:val="Normal"/>
    <w:uiPriority w:val="39"/>
    <w:qFormat/>
    <w:pPr>
      <w:widowControl w:val="0"/>
      <w:autoSpaceDE w:val="0"/>
      <w:autoSpaceDN w:val="0"/>
      <w:spacing w:line="220" w:lineRule="exact"/>
      <w:ind w:left="120"/>
    </w:pPr>
    <w:rPr>
      <w:rFonts w:ascii="Baskerville" w:eastAsia="Baskerville" w:hAnsi="Baskerville" w:cs="Baskerville"/>
      <w:b/>
      <w:bCs/>
      <w:sz w:val="20"/>
      <w:szCs w:val="20"/>
      <w:lang w:bidi="en-US"/>
    </w:rPr>
  </w:style>
  <w:style w:type="paragraph" w:styleId="TOC3">
    <w:name w:val="toc 3"/>
    <w:basedOn w:val="Normal"/>
    <w:uiPriority w:val="39"/>
    <w:qFormat/>
    <w:pPr>
      <w:widowControl w:val="0"/>
      <w:autoSpaceDE w:val="0"/>
      <w:autoSpaceDN w:val="0"/>
      <w:spacing w:line="220" w:lineRule="exact"/>
      <w:ind w:left="120"/>
    </w:pPr>
    <w:rPr>
      <w:rFonts w:ascii="Baskerville" w:eastAsia="Baskerville" w:hAnsi="Baskerville" w:cs="Baskerville"/>
      <w:sz w:val="20"/>
      <w:szCs w:val="20"/>
      <w:lang w:bidi="en-US"/>
    </w:rPr>
  </w:style>
  <w:style w:type="paragraph" w:styleId="TOC4">
    <w:name w:val="toc 4"/>
    <w:basedOn w:val="Normal"/>
    <w:uiPriority w:val="1"/>
    <w:qFormat/>
    <w:pPr>
      <w:widowControl w:val="0"/>
      <w:autoSpaceDE w:val="0"/>
      <w:autoSpaceDN w:val="0"/>
      <w:spacing w:before="158"/>
      <w:ind w:left="1200"/>
    </w:pPr>
    <w:rPr>
      <w:rFonts w:ascii="Baskerville" w:eastAsia="Baskerville" w:hAnsi="Baskerville" w:cs="Baskerville"/>
      <w:b/>
      <w:bCs/>
      <w:sz w:val="20"/>
      <w:szCs w:val="20"/>
      <w:lang w:bidi="en-US"/>
    </w:rPr>
  </w:style>
  <w:style w:type="paragraph" w:styleId="TOC5">
    <w:name w:val="toc 5"/>
    <w:basedOn w:val="Normal"/>
    <w:uiPriority w:val="1"/>
    <w:qFormat/>
    <w:pPr>
      <w:widowControl w:val="0"/>
      <w:autoSpaceDE w:val="0"/>
      <w:autoSpaceDN w:val="0"/>
      <w:spacing w:line="241" w:lineRule="exact"/>
      <w:ind w:left="1200"/>
    </w:pPr>
    <w:rPr>
      <w:rFonts w:ascii="Baskerville" w:eastAsia="Baskerville" w:hAnsi="Baskerville" w:cs="Baskerville"/>
      <w:sz w:val="20"/>
      <w:szCs w:val="20"/>
      <w:lang w:bidi="en-US"/>
    </w:rPr>
  </w:style>
  <w:style w:type="paragraph" w:styleId="TOC6">
    <w:name w:val="toc 6"/>
    <w:basedOn w:val="Normal"/>
    <w:uiPriority w:val="1"/>
    <w:qFormat/>
    <w:pPr>
      <w:widowControl w:val="0"/>
      <w:autoSpaceDE w:val="0"/>
      <w:autoSpaceDN w:val="0"/>
      <w:spacing w:before="167"/>
      <w:ind w:left="1560"/>
    </w:pPr>
    <w:rPr>
      <w:rFonts w:ascii="Baskerville" w:eastAsia="Baskerville" w:hAnsi="Baskerville" w:cs="Baskerville"/>
      <w:b/>
      <w:bCs/>
      <w:sz w:val="20"/>
      <w:szCs w:val="20"/>
      <w:lang w:bidi="en-US"/>
    </w:rPr>
  </w:style>
  <w:style w:type="paragraph" w:styleId="TOC7">
    <w:name w:val="toc 7"/>
    <w:basedOn w:val="Normal"/>
    <w:uiPriority w:val="1"/>
    <w:qFormat/>
    <w:pPr>
      <w:widowControl w:val="0"/>
      <w:autoSpaceDE w:val="0"/>
      <w:autoSpaceDN w:val="0"/>
      <w:spacing w:line="220" w:lineRule="exact"/>
      <w:ind w:left="1560"/>
    </w:pPr>
    <w:rPr>
      <w:rFonts w:ascii="Baskerville" w:eastAsia="Baskerville" w:hAnsi="Baskerville" w:cs="Baskerville"/>
      <w:sz w:val="20"/>
      <w:szCs w:val="20"/>
      <w:lang w:bidi="en-US"/>
    </w:rPr>
  </w:style>
  <w:style w:type="paragraph" w:styleId="BodyText">
    <w:name w:val="Body Text"/>
    <w:basedOn w:val="Normal"/>
    <w:uiPriority w:val="1"/>
    <w:qFormat/>
    <w:rsid w:val="00A25E69"/>
    <w:pPr>
      <w:widowControl w:val="0"/>
      <w:tabs>
        <w:tab w:val="right" w:leader="dot" w:pos="720"/>
      </w:tabs>
      <w:autoSpaceDE w:val="0"/>
      <w:autoSpaceDN w:val="0"/>
      <w:ind w:right="117"/>
      <w:jc w:val="both"/>
    </w:pPr>
    <w:rPr>
      <w:rFonts w:ascii="Avenir Light" w:eastAsia="Baskerville" w:hAnsi="Avenir Light" w:cs="Baskerville"/>
      <w:color w:val="231F20"/>
      <w:spacing w:val="-3"/>
      <w:sz w:val="20"/>
      <w:szCs w:val="20"/>
      <w:lang w:bidi="en-US"/>
    </w:rPr>
  </w:style>
  <w:style w:type="paragraph" w:styleId="ListParagraph">
    <w:name w:val="List Paragraph"/>
    <w:basedOn w:val="Normal"/>
    <w:uiPriority w:val="1"/>
    <w:qFormat/>
    <w:pPr>
      <w:widowControl w:val="0"/>
      <w:autoSpaceDE w:val="0"/>
      <w:autoSpaceDN w:val="0"/>
      <w:spacing w:line="220" w:lineRule="exact"/>
      <w:ind w:left="480" w:hanging="360"/>
    </w:pPr>
    <w:rPr>
      <w:rFonts w:ascii="Baskerville" w:eastAsia="Baskerville" w:hAnsi="Baskerville" w:cs="Baskerville"/>
      <w:sz w:val="22"/>
      <w:szCs w:val="22"/>
      <w:lang w:bidi="en-US"/>
    </w:rPr>
  </w:style>
  <w:style w:type="paragraph" w:customStyle="1" w:styleId="TableParagraph">
    <w:name w:val="Table Paragraph"/>
    <w:basedOn w:val="Normal"/>
    <w:uiPriority w:val="1"/>
    <w:qFormat/>
    <w:pPr>
      <w:widowControl w:val="0"/>
      <w:autoSpaceDE w:val="0"/>
      <w:autoSpaceDN w:val="0"/>
      <w:spacing w:before="57" w:line="242" w:lineRule="exact"/>
      <w:ind w:left="80"/>
    </w:pPr>
    <w:rPr>
      <w:rFonts w:ascii="Baskerville" w:eastAsia="Baskerville" w:hAnsi="Baskerville" w:cs="Baskerville"/>
      <w:sz w:val="22"/>
      <w:szCs w:val="22"/>
      <w:lang w:bidi="en-US"/>
    </w:rPr>
  </w:style>
  <w:style w:type="paragraph" w:styleId="BalloonText">
    <w:name w:val="Balloon Text"/>
    <w:basedOn w:val="Normal"/>
    <w:link w:val="BalloonTextChar"/>
    <w:uiPriority w:val="99"/>
    <w:semiHidden/>
    <w:unhideWhenUsed/>
    <w:rsid w:val="002C01E0"/>
    <w:pPr>
      <w:widowControl w:val="0"/>
      <w:autoSpaceDE w:val="0"/>
      <w:autoSpaceDN w:val="0"/>
    </w:pPr>
    <w:rPr>
      <w:rFonts w:ascii="Segoe UI" w:eastAsia="Baskerville" w:hAnsi="Segoe UI" w:cs="Segoe UI"/>
      <w:sz w:val="18"/>
      <w:szCs w:val="18"/>
      <w:lang w:bidi="en-US"/>
    </w:rPr>
  </w:style>
  <w:style w:type="character" w:customStyle="1" w:styleId="BalloonTextChar">
    <w:name w:val="Balloon Text Char"/>
    <w:basedOn w:val="DefaultParagraphFont"/>
    <w:link w:val="BalloonText"/>
    <w:uiPriority w:val="99"/>
    <w:semiHidden/>
    <w:rsid w:val="002C01E0"/>
    <w:rPr>
      <w:rFonts w:ascii="Segoe UI" w:eastAsia="Baskerville" w:hAnsi="Segoe UI" w:cs="Segoe UI"/>
      <w:sz w:val="18"/>
      <w:szCs w:val="18"/>
      <w:lang w:bidi="en-US"/>
    </w:rPr>
  </w:style>
  <w:style w:type="character" w:styleId="Hyperlink">
    <w:name w:val="Hyperlink"/>
    <w:basedOn w:val="DefaultParagraphFont"/>
    <w:uiPriority w:val="99"/>
    <w:unhideWhenUsed/>
    <w:rsid w:val="00890922"/>
    <w:rPr>
      <w:color w:val="0000FF"/>
      <w:u w:val="single"/>
    </w:rPr>
  </w:style>
  <w:style w:type="character" w:styleId="FollowedHyperlink">
    <w:name w:val="FollowedHyperlink"/>
    <w:basedOn w:val="DefaultParagraphFont"/>
    <w:uiPriority w:val="99"/>
    <w:semiHidden/>
    <w:unhideWhenUsed/>
    <w:rsid w:val="00890922"/>
    <w:rPr>
      <w:color w:val="800080" w:themeColor="followedHyperlink"/>
      <w:u w:val="single"/>
    </w:rPr>
  </w:style>
  <w:style w:type="character" w:customStyle="1" w:styleId="UnresolvedMention1">
    <w:name w:val="Unresolved Mention1"/>
    <w:basedOn w:val="DefaultParagraphFont"/>
    <w:uiPriority w:val="99"/>
    <w:semiHidden/>
    <w:unhideWhenUsed/>
    <w:rsid w:val="00D94670"/>
    <w:rPr>
      <w:color w:val="605E5C"/>
      <w:shd w:val="clear" w:color="auto" w:fill="E1DFDD"/>
    </w:rPr>
  </w:style>
  <w:style w:type="paragraph" w:styleId="NormalWeb">
    <w:name w:val="Normal (Web)"/>
    <w:basedOn w:val="Normal"/>
    <w:uiPriority w:val="99"/>
    <w:semiHidden/>
    <w:unhideWhenUsed/>
    <w:rsid w:val="00E76F1E"/>
    <w:pPr>
      <w:spacing w:before="100" w:beforeAutospacing="1" w:after="100" w:afterAutospacing="1"/>
    </w:pPr>
  </w:style>
  <w:style w:type="paragraph" w:styleId="NoSpacing">
    <w:name w:val="No Spacing"/>
    <w:uiPriority w:val="1"/>
    <w:qFormat/>
    <w:rsid w:val="0015312E"/>
    <w:rPr>
      <w:rFonts w:ascii="Baskerville" w:eastAsia="Baskerville" w:hAnsi="Baskerville" w:cs="Baskerville"/>
      <w:lang w:bidi="en-US"/>
    </w:rPr>
  </w:style>
  <w:style w:type="paragraph" w:styleId="Header">
    <w:name w:val="header"/>
    <w:basedOn w:val="Normal"/>
    <w:link w:val="HeaderChar"/>
    <w:uiPriority w:val="99"/>
    <w:unhideWhenUsed/>
    <w:rsid w:val="00BD1DA1"/>
    <w:pPr>
      <w:tabs>
        <w:tab w:val="center" w:pos="4680"/>
        <w:tab w:val="right" w:pos="9360"/>
      </w:tabs>
    </w:pPr>
  </w:style>
  <w:style w:type="character" w:customStyle="1" w:styleId="HeaderChar">
    <w:name w:val="Header Char"/>
    <w:basedOn w:val="DefaultParagraphFont"/>
    <w:link w:val="Header"/>
    <w:uiPriority w:val="99"/>
    <w:rsid w:val="00BD1DA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D1DA1"/>
    <w:pPr>
      <w:tabs>
        <w:tab w:val="center" w:pos="4680"/>
        <w:tab w:val="right" w:pos="9360"/>
      </w:tabs>
    </w:pPr>
  </w:style>
  <w:style w:type="character" w:customStyle="1" w:styleId="FooterChar">
    <w:name w:val="Footer Char"/>
    <w:basedOn w:val="DefaultParagraphFont"/>
    <w:link w:val="Footer"/>
    <w:uiPriority w:val="99"/>
    <w:rsid w:val="00BD1DA1"/>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2C0867"/>
  </w:style>
  <w:style w:type="character" w:styleId="SubtleReference">
    <w:name w:val="Subtle Reference"/>
    <w:basedOn w:val="DefaultParagraphFont"/>
    <w:uiPriority w:val="31"/>
    <w:qFormat/>
    <w:rsid w:val="00F374F0"/>
    <w:rPr>
      <w:smallCaps/>
      <w:color w:val="5A5A5A" w:themeColor="text1" w:themeTint="A5"/>
    </w:rPr>
  </w:style>
  <w:style w:type="character" w:styleId="UnresolvedMention">
    <w:name w:val="Unresolved Mention"/>
    <w:basedOn w:val="DefaultParagraphFont"/>
    <w:uiPriority w:val="99"/>
    <w:semiHidden/>
    <w:unhideWhenUsed/>
    <w:rsid w:val="00DB5138"/>
    <w:rPr>
      <w:color w:val="605E5C"/>
      <w:shd w:val="clear" w:color="auto" w:fill="E1DFDD"/>
    </w:rPr>
  </w:style>
  <w:style w:type="paragraph" w:styleId="Revision">
    <w:name w:val="Revision"/>
    <w:hidden/>
    <w:uiPriority w:val="99"/>
    <w:semiHidden/>
    <w:rsid w:val="001D3E3E"/>
  </w:style>
  <w:style w:type="character" w:styleId="CommentReference">
    <w:name w:val="annotation reference"/>
    <w:basedOn w:val="DefaultParagraphFont"/>
    <w:uiPriority w:val="99"/>
    <w:semiHidden/>
    <w:unhideWhenUsed/>
    <w:rsid w:val="003B57A8"/>
    <w:rPr>
      <w:sz w:val="16"/>
      <w:szCs w:val="16"/>
    </w:rPr>
  </w:style>
  <w:style w:type="paragraph" w:styleId="CommentText">
    <w:name w:val="annotation text"/>
    <w:basedOn w:val="Normal"/>
    <w:link w:val="CommentTextChar"/>
    <w:uiPriority w:val="99"/>
    <w:semiHidden/>
    <w:unhideWhenUsed/>
    <w:rsid w:val="003B57A8"/>
    <w:rPr>
      <w:sz w:val="20"/>
      <w:szCs w:val="20"/>
    </w:rPr>
  </w:style>
  <w:style w:type="character" w:customStyle="1" w:styleId="CommentTextChar">
    <w:name w:val="Comment Text Char"/>
    <w:basedOn w:val="DefaultParagraphFont"/>
    <w:link w:val="CommentText"/>
    <w:uiPriority w:val="99"/>
    <w:semiHidden/>
    <w:rsid w:val="003B57A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B57A8"/>
    <w:rPr>
      <w:b/>
      <w:bCs/>
    </w:rPr>
  </w:style>
  <w:style w:type="character" w:customStyle="1" w:styleId="CommentSubjectChar">
    <w:name w:val="Comment Subject Char"/>
    <w:basedOn w:val="CommentTextChar"/>
    <w:link w:val="CommentSubject"/>
    <w:uiPriority w:val="99"/>
    <w:semiHidden/>
    <w:rsid w:val="003B57A8"/>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3F6A9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customStyle="1" w:styleId="TitleChar">
    <w:name w:val="Title Char"/>
    <w:basedOn w:val="DefaultParagraphFont"/>
    <w:link w:val="Title"/>
    <w:uiPriority w:val="10"/>
    <w:rsid w:val="005A4BEC"/>
    <w:rPr>
      <w:rFonts w:asciiTheme="majorHAnsi" w:eastAsiaTheme="majorEastAsia" w:hAnsiTheme="majorHAnsi" w:cstheme="majorBidi"/>
      <w:spacing w:val="-10"/>
      <w:kern w:val="28"/>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graddiv.ucsb.edu/policy-procedure/academic-performance-and-progress" TargetMode="External"/><Relationship Id="rId26" Type="http://schemas.openxmlformats.org/officeDocument/2006/relationships/hyperlink" Target="http://www.graddiv.ucsb.edu/pubs" TargetMode="External"/><Relationship Id="rId39" Type="http://schemas.openxmlformats.org/officeDocument/2006/relationships/fontTable" Target="fontTable.xml"/><Relationship Id="rId21" Type="http://schemas.openxmlformats.org/officeDocument/2006/relationships/hyperlink" Target="http://www.graddiv.ucsb.edu/academic/forms-petitions" TargetMode="External"/><Relationship Id="rId34" Type="http://schemas.openxmlformats.org/officeDocument/2006/relationships/hyperlink" Target="http://ucnet.universityofcalifornia.edu/labor/bargaining-units/bx/contract.htm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graddiv.ucsb.edu/forms/reinstate-lapsed-status" TargetMode="External"/><Relationship Id="rId25" Type="http://schemas.openxmlformats.org/officeDocument/2006/relationships/hyperlink" Target="https://www.graddiv.ucsb.edu/academic-services/forms-petitions" TargetMode="External"/><Relationship Id="rId33" Type="http://schemas.openxmlformats.org/officeDocument/2006/relationships/hyperlink" Target="https://ap.ucsb.edu/compensation.and.benefits/ucsb.salary.scales/18.pdf"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registrar.sa.ucsb.edu" TargetMode="External"/><Relationship Id="rId20" Type="http://schemas.openxmlformats.org/officeDocument/2006/relationships/hyperlink" Target="https://www.graddiv.ucsb.edu/forms/leave-absence" TargetMode="External"/><Relationship Id="rId29" Type="http://schemas.openxmlformats.org/officeDocument/2006/relationships/hyperlink" Target="https://www.graddiv.ucsb.edu/academic-services/committe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graddiv.ucsb.edu/academic-services/forms-petitions" TargetMode="External"/><Relationship Id="rId32" Type="http://schemas.openxmlformats.org/officeDocument/2006/relationships/hyperlink" Target="http://www.registrar.ucsb.edu/feeinfo.htm." TargetMode="External"/><Relationship Id="rId37" Type="http://schemas.openxmlformats.org/officeDocument/2006/relationships/hyperlink" Target="https://gsa.ucsb.edu/funding/other-fundin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graddiv.ucsb.edu/academic-services/committees" TargetMode="External"/><Relationship Id="rId28" Type="http://schemas.openxmlformats.org/officeDocument/2006/relationships/hyperlink" Target="https://www.graddiv.ucsb.edu/academic-services/committees" TargetMode="External"/><Relationship Id="rId36" Type="http://schemas.openxmlformats.org/officeDocument/2006/relationships/hyperlink" Target="mailto:residency@sa.ucsb.edu" TargetMode="External"/><Relationship Id="rId10" Type="http://schemas.openxmlformats.org/officeDocument/2006/relationships/header" Target="header1.xml"/><Relationship Id="rId19" Type="http://schemas.openxmlformats.org/officeDocument/2006/relationships/hyperlink" Target="https://www.graddiv.ucsb.edu/policy-procedure/academic-parenting-accommodations" TargetMode="External"/><Relationship Id="rId31" Type="http://schemas.openxmlformats.org/officeDocument/2006/relationships/hyperlink" Target="https://www.graddiv.ucsb.edu/academic/interdisciplinary-emphases-certificate-program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yperlink" Target="https://www.graddiv.ucsb.edu/academic-services/committees" TargetMode="External"/><Relationship Id="rId27" Type="http://schemas.openxmlformats.org/officeDocument/2006/relationships/hyperlink" Target="https://www.graddiv.ucsb.edu/academic-services/committees" TargetMode="External"/><Relationship Id="rId30" Type="http://schemas.openxmlformats.org/officeDocument/2006/relationships/hyperlink" Target="https://www.graddiv.ucsb.edu/electronic-thesis-and-dissertation-filing" TargetMode="External"/><Relationship Id="rId35" Type="http://schemas.openxmlformats.org/officeDocument/2006/relationships/hyperlink" Target="https://ap.ucsb.edu/compensation.and.benefits/ucsb.salary.scales/22.pdf" TargetMode="External"/><Relationship Id="rId8" Type="http://schemas.openxmlformats.org/officeDocument/2006/relationships/footer" Target="foot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yDaQszOD79s3adZ8pfdPJRr/rA==">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13023</Words>
  <Characters>74236</Characters>
  <Application>Microsoft Office Word</Application>
  <DocSecurity>0</DocSecurity>
  <Lines>618</Lines>
  <Paragraphs>174</Paragraphs>
  <ScaleCrop>false</ScaleCrop>
  <Company/>
  <LinksUpToDate>false</LinksUpToDate>
  <CharactersWithSpaces>87085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Cox</dc:creator>
  <cp:lastModifiedBy>Dana Welch</cp:lastModifiedBy>
  <cp:revision>2</cp:revision>
  <dcterms:created xsi:type="dcterms:W3CDTF">2026-05-28T16:33:00Z</dcterms:created>
  <dcterms:modified xsi:type="dcterms:W3CDTF">2026-05-28T16:33:00Z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2018-09-06T00:00:00Z</vt:filetime>
  </property>
  <property fmtid="{D5CDD505-2E9C-101B-9397-08002B2CF9AE}" pid="3" name="Creator">
    <vt:lpwstr>Adobe InDesign CC 13.1 (Macintosh)</vt:lpwstr>
  </property>
  <property fmtid="{D5CDD505-2E9C-101B-9397-08002B2CF9AE}" pid="4" name="LastSaved">
    <vt:filetime>2018-09-06T00:00:00Z</vt:filetime>
  </property>
</Properties>
</file>